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Center"/>
      </w:pPr>
      <w:r>
        <w:rPr>
          <w:rFonts w:ascii="Times New Roman" w:hAnsi="Times New Roman" w:eastAsia="Times New Roman" w:cs="Times New Roman"/>
          <w:sz w:val="30"/>
          <w:szCs w:val="30"/>
        </w:rPr>
        <w:t xml:space="preserve">Perbandingan Kinerja Algoritma K-Nearest Neighbor dan Naive Bayes untuk Klasifikasi Loyalitas Pelanggan (Studi Kasus: CV Cahaya Alam Indah)</w:t>
      </w:r>
    </w:p>
    <w:p/>
    <w:p>
      <w:pPr>
        <w:pStyle w:val="pCenter"/>
      </w:pPr>
      <w:r>
        <w:rPr>
          <w:rFonts w:ascii="Times New Roman" w:hAnsi="Times New Roman" w:eastAsia="Times New Roman" w:cs="Times New Roman"/>
          <w:sz w:val="20"/>
          <w:szCs w:val="20"/>
          <w:b w:val="1"/>
          <w:bCs w:val="1"/>
        </w:rPr>
        <w:t xml:space="preserve">Abdan Syakur Ramadhan, Lena Magdalena, Mesi Febima</w:t>
      </w:r>
    </w:p>
    <w:p>
      <w:pPr>
        <w:pStyle w:val="pCenter"/>
      </w:pPr>
      <w:r>
        <w:rPr>
          <w:rFonts w:ascii="Times New Roman" w:hAnsi="Times New Roman" w:eastAsia="Times New Roman" w:cs="Times New Roman"/>
          <w:sz w:val="20"/>
          <w:szCs w:val="20"/>
          <w:i w:val="1"/>
          <w:iCs w:val="1"/>
        </w:rPr>
        <w:t xml:space="preserve">Prodi Sistem Informasi, Fakultas Teknologi Informasi, Universitas Catur Insan Cendekia</w:t>
      </w:r>
    </w:p>
    <w:p>
      <w:pPr>
        <w:pStyle w:val="pCenter"/>
      </w:pPr>
      <w:r>
        <w:rPr>
          <w:rFonts w:ascii="Times New Roman" w:hAnsi="Times New Roman" w:eastAsia="Times New Roman" w:cs="Times New Roman"/>
          <w:sz w:val="20"/>
          <w:szCs w:val="20"/>
        </w:rPr>
        <w:t xml:space="preserve">abdan.ramadhan.si.21@cic.ac.id</w:t>
      </w:r>
    </w:p>
    <w:p/>
    <w:p/>
    <w:p>
      <w:pPr/>
      <w:r>
        <w:rPr>
          <w:rFonts w:ascii="Times New Roman" w:hAnsi="Times New Roman" w:eastAsia="Times New Roman" w:cs="Times New Roman"/>
          <w:sz w:val="20"/>
          <w:szCs w:val="20"/>
          <w:b w:val="1"/>
          <w:bCs w:val="1"/>
        </w:rPr>
        <w:t xml:space="preserve">Abstract</w:t>
      </w:r>
    </w:p>
    <w:p>
      <w:pPr>
        <w:pStyle w:val="pJustify"/>
      </w:pPr>
      <w:r>
        <w:rPr>
          <w:rFonts w:ascii="Times New Roman" w:hAnsi="Times New Roman" w:eastAsia="Times New Roman" w:cs="Times New Roman"/>
          <w:sz w:val="20"/>
          <w:szCs w:val="20"/>
          <w:i w:val="1"/>
          <w:iCs w:val="1"/>
        </w:rPr>
        <w:t xml:space="preserve">CV Cahaya Alam Indah faces challenges in designing effective marketing strategies due to the absence of a structured customer classification system. This research aims to develop a classification model by comparing the performance of the K-Nearest Neighbors (KNN) and Naive Bayes algorithms to categorize customers into Loyal, Potentially Loyal, and Not Loyal. The study utilized 220 customer sales data records, which were preprocessed using Min-Max normalization and split into 70% training data and 30% testing data. Model performance was evaluated based on accuracy, precision, recall, and F1-score. The results showed that the KNN algorithm achieved a higher accuracy of 83.3%, outperforming the Naive Bayes algorithm, which scored 80.3%. The F1-Score for KNN was also consistently superior across all classes. Therefore, the KNN model is recommended as a more effective solution for customer loyalty classification in this case.</w:t>
      </w:r>
    </w:p>
    <w:p/>
    <w:p>
      <w:pPr/>
      <w:r>
        <w:rPr>
          <w:rStyle w:val="fontTimes10"/>
        </w:rPr>
        <w:t xml:space="preserve">Keywords: Classification, Customer Loyalty, K-Nearest Neighbors, Machine Learning, Naive Bayes</w:t>
      </w:r>
    </w:p>
    <w:p/>
    <w:p/>
    <w:p>
      <w:pPr/>
      <w:r>
        <w:rPr>
          <w:rFonts w:ascii="Times New Roman" w:hAnsi="Times New Roman" w:eastAsia="Times New Roman" w:cs="Times New Roman"/>
          <w:sz w:val="20"/>
          <w:szCs w:val="20"/>
          <w:b w:val="1"/>
          <w:bCs w:val="1"/>
        </w:rPr>
        <w:t xml:space="preserve">Abstrak</w:t>
      </w:r>
    </w:p>
    <w:p>
      <w:pPr>
        <w:pStyle w:val="pJustify"/>
      </w:pPr>
      <w:r>
        <w:rPr>
          <w:rStyle w:val="fontTimes10"/>
        </w:rPr>
        <w:t xml:space="preserve">CV Cahaya Alam Indah menghadapi tantangan dalam merancang strategi pemasaran yang efektif karena tidak adanya sistem klasifikasi pelanggan yang terstruktur. Penelitian ini bertujuan untuk membangun model klasifikasi dengan membandingkan performa algoritma K-Nearest Neighbors (KNN) dan Naive Bayes untuk mengkategorikan pelanggan menjadi Loyal, Cenderung Loyal, dan Tidak Loyal. Penelitian ini menggunakan 220 data riwayat penjualan pelanggan yang melalui tahap pra-pemrosesan menggunakan normalisasi Min-Max dan dibagi menjadi 70% data latih dan 30% data uji. Kinerja model dievaluasi berdasarkan akurasi, presisi, recall, dan F1-Score. Hasil penelitian menunjukkan bahwa algoritma KNN mencapai akurasi lebih tinggi sebesar 83.3%, mengungguli algoritma Naive Bayes yang memperoleh 80.3%. Nilai F1-Score KNN juga secara konsisten lebih superior di semua kelas. Dengan demikian, model KNN direkomendasikan sebagai solusi yang lebih efektif untuk klasifikasi loyalitas pelanggan pada studi kasus ini.</w:t>
      </w:r>
    </w:p>
    <w:p/>
    <w:p>
      <w:pPr/>
      <w:r>
        <w:rPr>
          <w:rStyle w:val="fontTimes10"/>
        </w:rPr>
        <w:t xml:space="preserve">Kata kunci: Klasifikasi, Loyalitas Pelanggan, K-Nearest Neighbors, Machine Learning, Naive Bayes</w:t>
      </w:r>
    </w:p>
    <w:p>
      <w:pPr>
        <w:sectPr>
          <w:pgSz w:orient="portrait" w:w="11907" w:h="16838"/>
          <w:pgMar w:top="1418" w:right="1418" w:bottom="1418" w:left="1418" w:header="720" w:footer="720" w:gutter="0"/>
          <w:cols w:num="1" w:space="720"/>
        </w:sectPr>
      </w:pPr>
    </w:p>
    <w:p>
      <w:pPr>
        <w:pStyle w:val="Heading1"/>
      </w:pPr>
      <w:bookmarkStart w:id="0" w:name="_Toc0"/>
      <w:r>
        <w:t>1. Pendahuluan</w:t>
      </w:r>
      <w:bookmarkEnd w:id="0"/>
    </w:p>
    <w:p>
      <w:pPr>
        <w:pStyle w:val="pJustify"/>
      </w:pPr>
      <w:r>
        <w:rPr>
          <w:rStyle w:val="fontTimes10"/>
        </w:rPr>
        <w:t xml:space="preserve">Di era digital saat ini, pemanfaatan data telah menjadi aset strategis bagi perusahaan untuk merancang strategi pemasaran yang efektif dan membangun loyalitas pelanggan jangka panjang. Konsep ini sangat relevan bagi industri air minum galon isi ulang (DAMIU), di mana pemahaman mendalam terhadap karakteristik pelanggan menjadi faktor vital untuk menjaga daya saing di tengah tantangan ketersediaan air bersih. CV Cahaya Alam Indah, sebuah produsen air minum di Cirebon, menghadapi tantangan signifikan dalam area ini. Permasalahan utama yang dihadapi adalah belum adanya sistem klasifikasi pelanggan yang terstruktur untuk mengkategorikan mereka ke dalam segmen loyalitas seperti Loyal, Cenderung Loyal, atau Tidak Loyal.
Akar dari permasalahan ini terletak pada proses bisnis yang masih mengandalkan pencatatan transaksi secara manual pada buku penjualan. Ketergantungan pada metode manual ini menyebabkan data mentah yang terkumpul menjadi sulit untuk dianalisis, tidak terstruktur, dan rentan terhadap kesalahan manusia. Dampak langsung dari ketiadaan sistem ini adalah ketidakmampuan perusahaan dalam memanfaatkan data riwayat pembelian, frekuensi transaksi, dan preferensi merek produk untuk mengapresiasi pelanggan setia, yang pada akhirnya menghambat efektivitas pemasaran dan upaya retensi pelanggan.
Untuk mengatasi permasalahan ini, penerapan *machine learning* menawarkan solusi yang efektif dan berbasis data. Beberapa penelitian sebelumnya telah menunjukkan keberhasilan berbagai algoritma dalam konteks analisis pelanggan. Penelitian oleh Rahmadana et al. (2024) menunjukkan keberhasilan algoritma **K-Nearest Neighbors (KNN)** dalam menganalisis kepuasan pelanggan dengan akurasi tinggi. Di sisi lain, algoritma **Naive Bayes**, yang menggunakan pendekatan probabilitas berdasarkan Teorema Bayes, juga telah terbukti efektif dalam klasifikasi loyalitas pelanggan, seperti yang ditunjukkan oleh penelitian Wati et al. (2024) dan Hayuningtyas (2024).
Berdasarkan potensi dan relevansi kedua metode tersebut, penelitian ini bertujuan untuk merancang dan membangun sebuah sistem yang mampu mengklasifikasikan pelanggan di CV Cahaya Alam Indah dengan membandingkan secara komprehensif kinerja algoritma K-Nearest Neighbors dan Naive Bayes. Tujuan spesifik dari penelitian ini adalah (1) menghasilkan model klasifikasi pelanggan berdasarkan data transaksi historis, (2) membandingkan performa kedua algoritma untuk menentukan model yang paling efektif, dan (3) menyediakan sebuah sistem pendukung keputusan yang dapat diadopsi oleh perusahaan untuk meningkatkan retensi dan merumuskan strategi pemasaran berbasis data yang lebih tepat sasaran.</w:t>
      </w:r>
    </w:p>
    <w:p/>
    <w:p>
      <w:pPr>
        <w:pStyle w:val="Heading1"/>
      </w:pPr>
      <w:bookmarkStart w:id="1" w:name="_Toc1"/>
      <w:r>
        <w:t>2. Metode Penelitian</w:t>
      </w:r>
      <w:bookmarkEnd w:id="1"/>
    </w:p>
    <w:p>
      <w:pPr>
        <w:pStyle w:val="Heading2"/>
      </w:pPr>
      <w:bookmarkStart w:id="2" w:name="_Toc2"/>
      <w:r>
        <w:t>2.1. Landasan Teori</w:t>
      </w:r>
      <w:bookmarkEnd w:id="2"/>
    </w:p>
    <w:p>
      <w:pPr>
        <w:pStyle w:val="pJustify"/>
      </w:pPr>
      <w:r>
        <w:rPr>
          <w:rStyle w:val="fontTimes10"/>
        </w:rPr>
        <w:t xml:space="preserve">Penelitian ini menerapkan kerangka kerja **Knowledge Discovery in Databases (KDD)**, yaitu sebuah proses untuk menemukan pengetahuan yang valid dan bermanfaat dari kumpulan data dalam jumlah besar. Proses KDD meliputi beberapa tahapan seperti pembersihan data, integrasi, seleksi, transformasi, penambangan data, evaluasi pola, dan presentasi pengetahuan.
Inti dari proses KDD adalah **Data Mining**, di mana teknik statistik dan kecerdasan buatan diterapkan untuk mengeksplorasi dan mengekstraksi pola dari data. Salah satu teknik utama dalam data mining adalah **klasifikasi**, yaitu proses untuk mengidentifikasi kelas dari sebuah data berdasarkan atribut tertentu dengan mempelajari data latih yang telah memiliki label.</w:t>
      </w:r>
    </w:p>
    <w:p/>
    <w:p>
      <w:pPr>
        <w:pStyle w:val="Heading2"/>
      </w:pPr>
      <w:bookmarkStart w:id="3" w:name="_Toc3"/>
      <w:r>
        <w:t>2.2. Kerangka Penelitian</w:t>
      </w:r>
      <w:bookmarkEnd w:id="3"/>
    </w:p>
    <w:p>
      <w:pPr>
        <w:pStyle w:val="pJustify"/>
      </w:pPr>
      <w:r>
        <w:rPr>
          <w:rStyle w:val="fontTimes10"/>
        </w:rPr>
        <w:t xml:space="preserve">Proses penelitian mengikuti alur sistematis yang digambarkan pada Gambar 1. Tahapan dimulai dari pengumpulan data, dilanjutkan dengan pra-pemrosesan, pembagian data, penerapan kedua model (KNN dan Naive Bayes), hingga evaluasi dan perbandingan hasil untuk menarik kesimpulan.</w:t>
      </w:r>
    </w:p>
    <w:p/>
    <w:p>
      <w:pPr>
        <w:jc w:val="center"/>
      </w:pPr>
      <w:r>
        <w:pict>
          <v:shape type="#_x0000_t75" stroked="f" style="width:220pt; height:290.84745762712pt; margin-left:0pt; margin-top:0pt; mso-position-horizontal:left; mso-position-vertical:top; mso-position-horizontal-relative:char; mso-position-vertical-relative:line;">
            <w10:wrap type="inline"/>
            <v:imagedata r:id="rId7" o:title=""/>
          </v:shape>
        </w:pict>
      </w:r>
    </w:p>
    <w:p>
      <w:pPr>
        <w:pStyle w:val="pCenter"/>
      </w:pPr>
      <w:r>
        <w:rPr>
          <w:rFonts w:ascii="Times New Roman" w:hAnsi="Times New Roman" w:eastAsia="Times New Roman" w:cs="Times New Roman"/>
          <w:sz w:val="16"/>
          <w:szCs w:val="16"/>
          <w:i w:val="1"/>
          <w:iCs w:val="1"/>
        </w:rPr>
        <w:t xml:space="preserve">Gambar 1. Alur Tahap Penelitian</w:t>
      </w:r>
    </w:p>
    <w:p/>
    <w:p>
      <w:pPr>
        <w:pStyle w:val="Heading2"/>
      </w:pPr>
      <w:bookmarkStart w:id="4" w:name="_Toc4"/>
      <w:r>
        <w:t>2.3. Akuisisi dan Karakteristik Dataset</w:t>
      </w:r>
      <w:bookmarkEnd w:id="4"/>
    </w:p>
    <w:p>
      <w:pPr>
        <w:pStyle w:val="pJustify"/>
      </w:pPr>
      <w:r>
        <w:rPr>
          <w:rStyle w:val="fontTimes10"/>
        </w:rPr>
        <w:t xml:space="preserve">Sumber data yang digunakan adalah data primer dari catatan transaksi penjualan di CV Cahaya Alam Indah. Dari total **10.241 catatan transaksi mentah**, dilakukan proses pembersihan data untuk mengatasi data yang tidak relevan dan duplikat, sehingga menghasilkan dataset final sebanyak **220 *record*** yang siap digunakan untuk analisis. Dataset ini terdiri dari tiga atribut utama yang digunakan sebagai fitur, yang dirangkum pada Tabel 1.</w:t>
      </w:r>
    </w:p>
    <w:p/>
    <w:tbl>
      <w:tblGrid>
        <w:gridCol w:w="2500" w:type="dxa"/>
        <w:gridCol w:w="4000" w:type="dxa"/>
      </w:tblGrid>
      <w:tblPr>
        <w:tblStyle w:val="myTable"/>
      </w:tblPr>
      <w:tr>
        <w:trPr/>
        <w:tc>
          <w:tcPr>
            <w:tcW w:w="2500" w:type="dxa"/>
            <w:shd w:val="clear" w:fill="D9D9D9"/>
            <w:noWrap/>
          </w:tcPr>
          <w:p>
            <w:pPr>
              <w:pStyle w:val="pCenter"/>
            </w:pPr>
            <w:r>
              <w:rPr>
                <w:sz w:val="16"/>
                <w:szCs w:val="16"/>
                <w:b w:val="1"/>
                <w:bCs w:val="1"/>
              </w:rPr>
              <w:t xml:space="preserve">Atribut</w:t>
            </w:r>
          </w:p>
        </w:tc>
        <w:tc>
          <w:tcPr>
            <w:tcW w:w="4000" w:type="dxa"/>
            <w:shd w:val="clear" w:fill="D9D9D9"/>
            <w:noWrap/>
          </w:tcPr>
          <w:p>
            <w:pPr>
              <w:pStyle w:val="pCenter"/>
            </w:pPr>
            <w:r>
              <w:rPr>
                <w:sz w:val="16"/>
                <w:szCs w:val="16"/>
                <w:b w:val="1"/>
                <w:bCs w:val="1"/>
              </w:rPr>
              <w:t xml:space="preserve">Deskripsi</w:t>
            </w:r>
          </w:p>
        </w:tc>
      </w:tr>
      <w:tr>
        <w:trPr/>
        <w:tc>
          <w:tcPr>
            <w:tcW w:w="2500" w:type="dxa"/>
            <w:noWrap/>
          </w:tcPr>
          <w:p>
            <w:pPr/>
            <w:r>
              <w:rPr>
                <w:sz w:val="16"/>
                <w:szCs w:val="16"/>
              </w:rPr>
              <w:t xml:space="preserve">Frekuensi Transaksi</w:t>
            </w:r>
          </w:p>
        </w:tc>
        <w:tc>
          <w:tcPr>
            <w:tcW w:w="4000" w:type="dxa"/>
            <w:noWrap/>
          </w:tcPr>
          <w:p>
            <w:pPr/>
            <w:r>
              <w:rPr>
                <w:sz w:val="16"/>
                <w:szCs w:val="16"/>
              </w:rPr>
              <w:t xml:space="preserve">Jumlah total transaksi pembelian oleh pelanggan.</w:t>
            </w:r>
          </w:p>
        </w:tc>
      </w:tr>
      <w:tr>
        <w:trPr/>
        <w:tc>
          <w:tcPr>
            <w:tcW w:w="2500" w:type="dxa"/>
            <w:noWrap/>
          </w:tcPr>
          <w:p>
            <w:pPr/>
            <w:r>
              <w:rPr>
                <w:sz w:val="16"/>
                <w:szCs w:val="16"/>
              </w:rPr>
              <w:t xml:space="preserve">Jumlah Pembelian</w:t>
            </w:r>
          </w:p>
        </w:tc>
        <w:tc>
          <w:tcPr>
            <w:tcW w:w="4000" w:type="dxa"/>
            <w:noWrap/>
          </w:tcPr>
          <w:p>
            <w:pPr/>
            <w:r>
              <w:rPr>
                <w:sz w:val="16"/>
                <w:szCs w:val="16"/>
              </w:rPr>
              <w:t xml:space="preserve">Akumulasi total galon yang dibeli pelanggan.</w:t>
            </w:r>
          </w:p>
        </w:tc>
      </w:tr>
      <w:tr>
        <w:trPr/>
        <w:tc>
          <w:tcPr>
            <w:tcW w:w="2500" w:type="dxa"/>
            <w:noWrap/>
          </w:tcPr>
          <w:p>
            <w:pPr/>
            <w:r>
              <w:rPr>
                <w:sz w:val="16"/>
                <w:szCs w:val="16"/>
              </w:rPr>
              <w:t xml:space="preserve">Preferensi Produk</w:t>
            </w:r>
          </w:p>
        </w:tc>
        <w:tc>
          <w:tcPr>
            <w:tcW w:w="4000" w:type="dxa"/>
            <w:noWrap/>
          </w:tcPr>
          <w:p>
            <w:pPr/>
            <w:r>
              <w:rPr>
                <w:sz w:val="16"/>
                <w:szCs w:val="16"/>
              </w:rPr>
              <w:t xml:space="preserve">Jenis produk yang paling sering dibeli.</w:t>
            </w:r>
          </w:p>
        </w:tc>
      </w:tr>
    </w:tbl>
    <w:p>
      <w:pPr>
        <w:pStyle w:val="pCenter"/>
      </w:pPr>
      <w:r>
        <w:rPr>
          <w:sz w:val="16"/>
          <w:szCs w:val="16"/>
          <w:i w:val="1"/>
          <w:iCs w:val="1"/>
        </w:rPr>
        <w:t xml:space="preserve">Tabel 1. Atribut yang Digunakan dalam Penelitian</w:t>
      </w:r>
    </w:p>
    <w:p/>
    <w:p>
      <w:pPr>
        <w:pStyle w:val="Heading2"/>
      </w:pPr>
      <w:bookmarkStart w:id="5" w:name="_Toc5"/>
      <w:r>
        <w:t>2.4. Tahap Pra-pemrosesan Data</w:t>
      </w:r>
      <w:bookmarkEnd w:id="5"/>
    </w:p>
    <w:p>
      <w:pPr/>
      <w:r>
        <w:rPr>
          <w:rFonts w:ascii="Times New Roman" w:hAnsi="Times New Roman" w:eastAsia="Times New Roman" w:cs="Times New Roman"/>
          <w:sz w:val="20"/>
          <w:szCs w:val="20"/>
        </w:rPr>
        <w:t xml:space="preserve">2.4.1. Normalisasi Min-Max</w:t>
      </w:r>
    </w:p>
    <w:p>
      <w:pPr>
        <w:pStyle w:val="pJustify"/>
      </w:pPr>
      <w:r>
        <w:rPr>
          <w:rStyle w:val="fontTimes10"/>
        </w:rPr>
        <w:t xml:space="preserve">Data numerik dinormalisasi menggunakan metode *Min-Max Normalization* untuk mengubah rentang nilainya ke dalam skala seragam (0 hingga 1), memastikan setiap fitur memiliki bobot yang seimbang. Rumus yang digunakan adalah sebagai berikut:</w:t>
      </w:r>
    </w:p>
    <w:p>
      <w:pPr>
        <w:pStyle w:val="pCenter"/>
      </w:pPr>
      <w:r>
        <w:rPr>
          <w:rFonts w:ascii="Times New Roman" w:hAnsi="Times New Roman" w:eastAsia="Times New Roman" w:cs="Times New Roman"/>
          <w:sz w:val="20"/>
          <w:szCs w:val="20"/>
        </w:rPr>
        <w:t xml:space="preserve">X_norm = (X - X_min) / (X_max - X_min)      (1)</w:t>
      </w:r>
    </w:p>
    <w:p/>
    <w:p>
      <w:pPr/>
      <w:r>
        <w:rPr>
          <w:rFonts w:ascii="Times New Roman" w:hAnsi="Times New Roman" w:eastAsia="Times New Roman" w:cs="Times New Roman"/>
          <w:sz w:val="20"/>
          <w:szCs w:val="20"/>
        </w:rPr>
        <w:t xml:space="preserve">2.4.2. Pembagian Dataset</w:t>
      </w:r>
    </w:p>
    <w:p>
      <w:pPr>
        <w:pStyle w:val="pJustify"/>
      </w:pPr>
      <w:r>
        <w:rPr>
          <w:rStyle w:val="fontTimes10"/>
        </w:rPr>
        <w:t xml:space="preserve">Dataset yang terdiri dari 220 *record* dibagi dengan rasio **70:30**, yaitu **154 *record*** sebagai **data latih** dan **66 *record*** sebagai **data uji**.</w:t>
      </w:r>
    </w:p>
    <w:p/>
    <w:p>
      <w:pPr>
        <w:pStyle w:val="Heading2"/>
      </w:pPr>
      <w:bookmarkStart w:id="6" w:name="_Toc6"/>
      <w:r>
        <w:t>2.5. Implementasi Algoritma</w:t>
      </w:r>
      <w:bookmarkEnd w:id="6"/>
    </w:p>
    <w:p>
      <w:pPr/>
      <w:r>
        <w:rPr>
          <w:rFonts w:ascii="Times New Roman" w:hAnsi="Times New Roman" w:eastAsia="Times New Roman" w:cs="Times New Roman"/>
          <w:sz w:val="20"/>
          <w:szCs w:val="20"/>
        </w:rPr>
        <w:t xml:space="preserve">2.5.1. K-Nearest Neighbor (KNN)</w:t>
      </w:r>
    </w:p>
    <w:p>
      <w:pPr>
        <w:pStyle w:val="pJustify"/>
      </w:pPr>
      <w:r>
        <w:rPr>
          <w:rStyle w:val="fontTimes10"/>
        </w:rPr>
        <w:t xml:space="preserve">KNN adalah algoritma berbasis *instance* yang mengklasifikasikan data baru berdasarkan mayoritas kelas dari K tetangga terdekatnya. Jarak antar data dihitung menggunakan metrik *Euclidean Distance* (rumus 2). Penelitian ini menetapkan nilai **k=3**.</w:t>
      </w:r>
    </w:p>
    <w:p>
      <w:pPr>
        <w:pStyle w:val="pCenter"/>
      </w:pPr>
      <w:r>
        <w:rPr>
          <w:rFonts w:ascii="Times New Roman" w:hAnsi="Times New Roman" w:eastAsia="Times New Roman" w:cs="Times New Roman"/>
          <w:sz w:val="20"/>
          <w:szCs w:val="20"/>
        </w:rPr>
        <w:t xml:space="preserve">d(x,y) = SQRT(SUM((x_i - y_i)^2))      (2)</w:t>
      </w:r>
    </w:p>
    <w:p/>
    <w:p>
      <w:pPr/>
      <w:r>
        <w:rPr>
          <w:rFonts w:ascii="Times New Roman" w:hAnsi="Times New Roman" w:eastAsia="Times New Roman" w:cs="Times New Roman"/>
          <w:sz w:val="20"/>
          <w:szCs w:val="20"/>
        </w:rPr>
        <w:t xml:space="preserve">2.5.2. Naive Bayes</w:t>
      </w:r>
    </w:p>
    <w:p>
      <w:pPr>
        <w:pStyle w:val="pJustify"/>
      </w:pPr>
      <w:r>
        <w:rPr>
          <w:rStyle w:val="fontTimes10"/>
        </w:rPr>
        <w:t xml:space="preserve">Naive Bayes adalah metode klasifikasi probabilistik berdasarkan Teorema Bayes, yang bekerja dengan asumsi bahwa setiap fitur bersifat independen. Probabilitas posterior P(H|E) dari suatu kelas dihitung menggunakan rumus (3):</w:t>
      </w:r>
    </w:p>
    <w:p>
      <w:pPr>
        <w:pStyle w:val="pCenter"/>
      </w:pPr>
      <w:r>
        <w:rPr>
          <w:rFonts w:ascii="Times New Roman" w:hAnsi="Times New Roman" w:eastAsia="Times New Roman" w:cs="Times New Roman"/>
          <w:sz w:val="20"/>
          <w:szCs w:val="20"/>
        </w:rPr>
        <w:t xml:space="preserve">P(H|E) = (P(E|H) * P(H)) / P(E)      (3)</w:t>
      </w:r>
    </w:p>
    <w:p/>
    <w:p>
      <w:pPr>
        <w:pStyle w:val="Heading2"/>
      </w:pPr>
      <w:bookmarkStart w:id="7" w:name="_Toc7"/>
      <w:r>
        <w:t>2.6. Perancangan Sistem</w:t>
      </w:r>
      <w:bookmarkEnd w:id="7"/>
    </w:p>
    <w:p>
      <w:pPr>
        <w:pStyle w:val="pJustify"/>
      </w:pPr>
      <w:r>
        <w:rPr>
          <w:rStyle w:val="fontTimes10"/>
        </w:rPr>
        <w:t xml:space="preserve">Untuk mengimplementasikan model, sebuah sistem informasi dirancang menggunakan *Unified Modelling Language* (UML). Interaksi pengguna (*Owner* dan Operator) dengan sistem dimodelkan menggunakan Diagram *Use Case* (Gambar 2 dan 3).</w:t>
      </w:r>
    </w:p>
    <w:p/>
    <w:p>
      <w:pPr>
        <w:pStyle w:val="pJustify"/>
      </w:pPr>
      <w:r>
        <w:rPr>
          <w:rStyle w:val="fontTimes10"/>
        </w:rPr>
        <w:t xml:space="preserve">Struktur statis dari sistem, termasuk kelas-kelas utama dan hubungannya, dimodelkan menggunakan Diagram Kelas (*Class Diagram*) seperti yang ditunjukkan pada Gambar 4.</w:t>
      </w:r>
    </w:p>
    <w:p/>
    <w:p>
      <w:pPr>
        <w:pStyle w:val="Heading2"/>
      </w:pPr>
      <w:bookmarkStart w:id="8" w:name="_Toc8"/>
      <w:r>
        <w:t>2.7. Metrik Evaluasi Kinerja</w:t>
      </w:r>
      <w:bookmarkEnd w:id="8"/>
    </w:p>
    <w:p>
      <w:pPr>
        <w:pStyle w:val="pJustify"/>
      </w:pPr>
      <w:r>
        <w:rPr>
          <w:rStyle w:val="fontTimes10"/>
        </w:rPr>
        <w:t xml:space="preserve">Evaluasi performa kedua model dilakukan dengan membandingkan hasil prediksi pada data uji dengan kelas aktualnya menggunakan ***Confusion Matrix***. Dari matriks tersebut, metrik kuantitatif utama yang dihitung adalah **Akurasi, Presisi, *Recall*, dan F1-Score**. Akurasi, yang mengukur rasio prediksi benar secara keseluruhan, dihitung dengan rumus (4):</w:t>
      </w:r>
    </w:p>
    <w:p>
      <w:pPr>
        <w:pStyle w:val="pCenter"/>
      </w:pPr>
      <w:r>
        <w:rPr>
          <w:rFonts w:ascii="Times New Roman" w:hAnsi="Times New Roman" w:eastAsia="Times New Roman" w:cs="Times New Roman"/>
          <w:sz w:val="20"/>
          <w:szCs w:val="20"/>
        </w:rPr>
        <w:t xml:space="preserve">Akurasi = (TP+TN) / (TP+TN+FP+FN)      (4)</w:t>
      </w:r>
    </w:p>
    <w:p/>
    <w:p>
      <w:pPr>
        <w:pStyle w:val="Heading1"/>
      </w:pPr>
      <w:bookmarkStart w:id="9" w:name="_Toc9"/>
      <w:r>
        <w:t>3. Hasil dan Pembahasan</w:t>
      </w:r>
      <w:bookmarkEnd w:id="9"/>
    </w:p>
    <w:p>
      <w:pPr>
        <w:pStyle w:val="Heading2"/>
      </w:pPr>
      <w:bookmarkStart w:id="10" w:name="_Toc10"/>
      <w:r>
        <w:t>3.1. Hasil Perhitungan Manual</w:t>
      </w:r>
      <w:bookmarkEnd w:id="10"/>
    </w:p>
    <w:p>
      <w:pPr>
        <w:pStyle w:val="pJustify"/>
      </w:pPr>
      <w:r>
        <w:rPr>
          <w:rStyle w:val="fontTimes10"/>
        </w:rPr>
        <w:t xml:space="preserve">Untuk memberikan pemahaman transparan, berikut adalah contoh perhitungan untuk satu data uji, "SMK Al-Jabar" (fitur ternormalisasi: Frekuensi=0.231, Jumlah=0.280, Produk=1.0).</w:t>
      </w:r>
    </w:p>
    <w:p/>
    <w:p>
      <w:pPr/>
      <w:r>
        <w:rPr>
          <w:rFonts w:ascii="Times New Roman" w:hAnsi="Times New Roman" w:eastAsia="Times New Roman" w:cs="Times New Roman"/>
          <w:sz w:val="20"/>
          <w:szCs w:val="20"/>
        </w:rPr>
        <w:t xml:space="preserve">3.1.1. Perhitungan K-Nearest Neighbor (KNN)</w:t>
      </w:r>
    </w:p>
    <w:p>
      <w:pPr>
        <w:pStyle w:val="pJustify"/>
      </w:pPr>
      <w:r>
        <w:rPr>
          <w:rStyle w:val="fontTimes10"/>
        </w:rPr>
        <w:t xml:space="preserve">Jarak Euclidean dihitung antara data uji dengan seluruh 154 data latih (Tabel 2). Tiga tetangga terdekat (k=3) kemudian diidentifikasi (Tabel 3) untuk menentukan kelas mayoritas.</w:t>
      </w:r>
    </w:p>
    <w:tbl>
      <w:tblGrid>
        <w:gridCol w:w="4500" w:type="dxa"/>
        <w:gridCol w:w="2000" w:type="dxa"/>
      </w:tblGrid>
      <w:tblPr>
        <w:tblStyle w:val="myTable"/>
      </w:tblPr>
      <w:tr>
        <w:trPr/>
        <w:tc>
          <w:tcPr>
            <w:tcW w:w="4500" w:type="dxa"/>
            <w:shd w:val="clear" w:fill="D9D9D9"/>
            <w:noWrap/>
          </w:tcPr>
          <w:p>
            <w:pPr>
              <w:pStyle w:val="pCenter"/>
            </w:pPr>
            <w:r>
              <w:rPr>
                <w:sz w:val="16"/>
                <w:szCs w:val="16"/>
                <w:b w:val="1"/>
                <w:bCs w:val="1"/>
              </w:rPr>
              <w:t xml:space="preserve">Nama Konsumen (Data Latih)</w:t>
            </w:r>
          </w:p>
        </w:tc>
        <w:tc>
          <w:tcPr>
            <w:tcW w:w="2000" w:type="dxa"/>
            <w:shd w:val="clear" w:fill="D9D9D9"/>
            <w:noWrap/>
          </w:tcPr>
          <w:p>
            <w:pPr>
              <w:pStyle w:val="pCenter"/>
            </w:pPr>
            <w:r>
              <w:rPr>
                <w:sz w:val="16"/>
                <w:szCs w:val="16"/>
                <w:b w:val="1"/>
                <w:bCs w:val="1"/>
              </w:rPr>
              <w:t xml:space="preserve">Jarak</w:t>
            </w:r>
          </w:p>
        </w:tc>
      </w:tr>
      <w:tr>
        <w:trPr/>
        <w:tc>
          <w:tcPr>
            <w:tcW w:w="4500" w:type="dxa"/>
            <w:noWrap/>
          </w:tcPr>
          <w:p>
            <w:pPr/>
            <w:r>
              <w:rPr>
                <w:sz w:val="16"/>
                <w:szCs w:val="16"/>
              </w:rPr>
              <w:t xml:space="preserve">Aan</w:t>
            </w:r>
          </w:p>
        </w:tc>
        <w:tc>
          <w:tcPr>
            <w:tcW w:w="2000" w:type="dxa"/>
            <w:noWrap/>
          </w:tcPr>
          <w:p>
            <w:pPr>
              <w:pStyle w:val="pCenter"/>
            </w:pPr>
            <w:r>
              <w:rPr>
                <w:sz w:val="16"/>
                <w:szCs w:val="16"/>
              </w:rPr>
              <w:t xml:space="preserve">0.4675</w:t>
            </w:r>
          </w:p>
        </w:tc>
      </w:tr>
      <w:tr>
        <w:trPr/>
        <w:tc>
          <w:tcPr>
            <w:tcW w:w="4500" w:type="dxa"/>
            <w:noWrap/>
          </w:tcPr>
          <w:p>
            <w:pPr/>
            <w:r>
              <w:rPr>
                <w:sz w:val="16"/>
                <w:szCs w:val="16"/>
              </w:rPr>
              <w:t xml:space="preserve">...</w:t>
            </w:r>
          </w:p>
        </w:tc>
        <w:tc>
          <w:tcPr>
            <w:tcW w:w="2000" w:type="dxa"/>
            <w:noWrap/>
          </w:tcPr>
          <w:p>
            <w:pPr>
              <w:pStyle w:val="pCenter"/>
            </w:pPr>
            <w:r>
              <w:rPr>
                <w:sz w:val="16"/>
                <w:szCs w:val="16"/>
              </w:rPr>
              <w:t xml:space="preserve">...</w:t>
            </w:r>
          </w:p>
        </w:tc>
      </w:tr>
      <w:tr>
        <w:trPr/>
        <w:tc>
          <w:tcPr>
            <w:tcW w:w="4500" w:type="dxa"/>
            <w:noWrap/>
          </w:tcPr>
          <w:p>
            <w:pPr/>
            <w:r>
              <w:rPr>
                <w:sz w:val="16"/>
                <w:szCs w:val="16"/>
              </w:rPr>
              <w:t xml:space="preserve">SMK Al-Ikhlas</w:t>
            </w:r>
          </w:p>
        </w:tc>
        <w:tc>
          <w:tcPr>
            <w:tcW w:w="2000" w:type="dxa"/>
            <w:noWrap/>
          </w:tcPr>
          <w:p>
            <w:pPr>
              <w:pStyle w:val="pCenter"/>
            </w:pPr>
            <w:r>
              <w:rPr>
                <w:sz w:val="16"/>
                <w:szCs w:val="16"/>
              </w:rPr>
              <w:t xml:space="preserve">0.0885</w:t>
            </w:r>
          </w:p>
        </w:tc>
      </w:tr>
    </w:tbl>
    <w:p>
      <w:pPr>
        <w:pStyle w:val="pCenter"/>
      </w:pPr>
      <w:r>
        <w:rPr>
          <w:sz w:val="16"/>
          <w:szCs w:val="16"/>
          <w:i w:val="1"/>
          <w:iCs w:val="1"/>
        </w:rPr>
        <w:t xml:space="preserve">Tabel 2. Contoh Perhitungan Jarak Euclidean</w:t>
      </w:r>
    </w:p>
    <w:p/>
    <w:tbl>
      <w:tblGrid>
        <w:gridCol w:w="1000" w:type="dxa"/>
        <w:gridCol w:w="3000" w:type="dxa"/>
        <w:gridCol w:w="2500" w:type="dxa"/>
      </w:tblGrid>
      <w:tblPr>
        <w:tblStyle w:val="myTable"/>
      </w:tblPr>
      <w:tr>
        <w:trPr/>
        <w:tc>
          <w:tcPr>
            <w:tcW w:w="1000" w:type="dxa"/>
            <w:shd w:val="clear" w:fill="D9D9D9"/>
            <w:noWrap/>
          </w:tcPr>
          <w:p>
            <w:pPr>
              <w:pStyle w:val="pCenter"/>
            </w:pPr>
            <w:r>
              <w:rPr>
                <w:sz w:val="16"/>
                <w:szCs w:val="16"/>
                <w:b w:val="1"/>
                <w:bCs w:val="1"/>
              </w:rPr>
              <w:t xml:space="preserve">No</w:t>
            </w:r>
          </w:p>
        </w:tc>
        <w:tc>
          <w:tcPr>
            <w:tcW w:w="3000" w:type="dxa"/>
            <w:shd w:val="clear" w:fill="D9D9D9"/>
            <w:noWrap/>
          </w:tcPr>
          <w:p>
            <w:pPr>
              <w:pStyle w:val="pCenter"/>
            </w:pPr>
            <w:r>
              <w:rPr>
                <w:sz w:val="16"/>
                <w:szCs w:val="16"/>
                <w:b w:val="1"/>
                <w:bCs w:val="1"/>
              </w:rPr>
              <w:t xml:space="preserve">Tetangga Terdekat</w:t>
            </w:r>
          </w:p>
        </w:tc>
        <w:tc>
          <w:tcPr>
            <w:tcW w:w="2500" w:type="dxa"/>
            <w:shd w:val="clear" w:fill="D9D9D9"/>
            <w:noWrap/>
          </w:tcPr>
          <w:p>
            <w:pPr>
              <w:pStyle w:val="pCenter"/>
            </w:pPr>
            <w:r>
              <w:rPr>
                <w:sz w:val="16"/>
                <w:szCs w:val="16"/>
                <w:b w:val="1"/>
                <w:bCs w:val="1"/>
              </w:rPr>
              <w:t xml:space="preserve">Klasifikasi</w:t>
            </w:r>
          </w:p>
        </w:tc>
      </w:tr>
      <w:tr>
        <w:trPr/>
        <w:tc>
          <w:tcPr>
            <w:tcW w:w="1000" w:type="dxa"/>
            <w:noWrap/>
          </w:tcPr>
          <w:p>
            <w:pPr>
              <w:pStyle w:val="pCenter"/>
            </w:pPr>
            <w:r>
              <w:rPr>
                <w:sz w:val="16"/>
                <w:szCs w:val="16"/>
              </w:rPr>
              <w:t xml:space="preserve">1</w:t>
            </w:r>
          </w:p>
        </w:tc>
        <w:tc>
          <w:tcPr>
            <w:tcW w:w="3000" w:type="dxa"/>
            <w:noWrap/>
          </w:tcPr>
          <w:p>
            <w:pPr/>
            <w:r>
              <w:rPr>
                <w:sz w:val="16"/>
                <w:szCs w:val="16"/>
              </w:rPr>
              <w:t xml:space="preserve">Nci Babakan</w:t>
            </w:r>
          </w:p>
        </w:tc>
        <w:tc>
          <w:tcPr>
            <w:tcW w:w="2500" w:type="dxa"/>
            <w:noWrap/>
          </w:tcPr>
          <w:p>
            <w:pPr/>
            <w:r>
              <w:rPr>
                <w:sz w:val="16"/>
                <w:szCs w:val="16"/>
              </w:rPr>
              <w:t xml:space="preserve">Cenderung Loyal</w:t>
            </w:r>
          </w:p>
        </w:tc>
      </w:tr>
      <w:tr>
        <w:trPr/>
        <w:tc>
          <w:tcPr>
            <w:tcW w:w="1000" w:type="dxa"/>
            <w:noWrap/>
          </w:tcPr>
          <w:p>
            <w:pPr>
              <w:pStyle w:val="pCenter"/>
            </w:pPr>
            <w:r>
              <w:rPr>
                <w:sz w:val="16"/>
                <w:szCs w:val="16"/>
              </w:rPr>
              <w:t xml:space="preserve">2</w:t>
            </w:r>
          </w:p>
        </w:tc>
        <w:tc>
          <w:tcPr>
            <w:tcW w:w="3000" w:type="dxa"/>
            <w:noWrap/>
          </w:tcPr>
          <w:p>
            <w:pPr/>
            <w:r>
              <w:rPr>
                <w:sz w:val="16"/>
                <w:szCs w:val="16"/>
              </w:rPr>
              <w:t xml:space="preserve">Juhana</w:t>
            </w:r>
          </w:p>
        </w:tc>
        <w:tc>
          <w:tcPr>
            <w:tcW w:w="2500" w:type="dxa"/>
            <w:noWrap/>
          </w:tcPr>
          <w:p>
            <w:pPr/>
            <w:r>
              <w:rPr>
                <w:sz w:val="16"/>
                <w:szCs w:val="16"/>
              </w:rPr>
              <w:t xml:space="preserve">Cenderung Loyal</w:t>
            </w:r>
          </w:p>
        </w:tc>
      </w:tr>
      <w:tr>
        <w:trPr/>
        <w:tc>
          <w:tcPr>
            <w:tcW w:w="1000" w:type="dxa"/>
            <w:noWrap/>
          </w:tcPr>
          <w:p>
            <w:pPr>
              <w:pStyle w:val="pCenter"/>
            </w:pPr>
            <w:r>
              <w:rPr>
                <w:sz w:val="16"/>
                <w:szCs w:val="16"/>
              </w:rPr>
              <w:t xml:space="preserve">3</w:t>
            </w:r>
          </w:p>
        </w:tc>
        <w:tc>
          <w:tcPr>
            <w:tcW w:w="3000" w:type="dxa"/>
            <w:noWrap/>
          </w:tcPr>
          <w:p>
            <w:pPr/>
            <w:r>
              <w:rPr>
                <w:sz w:val="16"/>
                <w:szCs w:val="16"/>
              </w:rPr>
              <w:t xml:space="preserve">Salim</w:t>
            </w:r>
          </w:p>
        </w:tc>
        <w:tc>
          <w:tcPr>
            <w:tcW w:w="2500" w:type="dxa"/>
            <w:noWrap/>
          </w:tcPr>
          <w:p>
            <w:pPr/>
            <w:r>
              <w:rPr>
                <w:sz w:val="16"/>
                <w:szCs w:val="16"/>
              </w:rPr>
              <w:t xml:space="preserve">Cenderung Loyal</w:t>
            </w:r>
          </w:p>
        </w:tc>
      </w:tr>
    </w:tbl>
    <w:p>
      <w:pPr>
        <w:pStyle w:val="pCenter"/>
      </w:pPr>
      <w:r>
        <w:rPr>
          <w:sz w:val="16"/>
          <w:szCs w:val="16"/>
          <w:i w:val="1"/>
          <w:iCs w:val="1"/>
        </w:rPr>
        <w:t xml:space="preserve">Tabel 3. Tiga Tetangga Terdekat (k=3)</w:t>
      </w:r>
    </w:p>
    <w:p>
      <w:pPr>
        <w:pStyle w:val="pJustify"/>
      </w:pPr>
      <w:r>
        <w:rPr>
          <w:rStyle w:val="fontTimes10"/>
        </w:rPr>
        <w:t xml:space="preserve">Hasil prediksi KNN adalah **Cenderung Loyal**.</w:t>
      </w:r>
    </w:p>
    <w:p/>
    <w:p>
      <w:pPr/>
      <w:r>
        <w:rPr>
          <w:rFonts w:ascii="Times New Roman" w:hAnsi="Times New Roman" w:eastAsia="Times New Roman" w:cs="Times New Roman"/>
          <w:sz w:val="20"/>
          <w:szCs w:val="20"/>
        </w:rPr>
        <w:t xml:space="preserve">3.1.2. Perhitungan Naive Bayes</w:t>
      </w:r>
    </w:p>
    <w:p>
      <w:pPr>
        <w:pStyle w:val="pJustify"/>
      </w:pPr>
      <w:r>
        <w:rPr>
          <w:rStyle w:val="fontTimes10"/>
        </w:rPr>
        <w:t xml:space="preserve">Probabilitas dihitung berdasarkan nilai mean, deviasi standar (Tabel 4), dan probabilitas prior dari data latih. Kelas dengan probabilitas posterior tertinggi menjadi prediksi. Untuk data uji ini, hasilnya adalah **Cenderung Loyal**.</w:t>
      </w:r>
    </w:p>
    <w:p/>
    <w:p>
      <w:pPr>
        <w:pStyle w:val="Heading2"/>
      </w:pPr>
      <w:bookmarkStart w:id="11" w:name="_Toc11"/>
      <w:r>
        <w:t>3.2. Hasil Implementasi Sistem</w:t>
      </w:r>
      <w:bookmarkEnd w:id="11"/>
    </w:p>
    <w:p>
      <w:pPr>
        <w:pStyle w:val="pJustify"/>
      </w:pPr>
      <w:r>
        <w:rPr>
          <w:rStyle w:val="fontTimes10"/>
        </w:rPr>
        <w:t xml:space="preserve">Logika perhitungan di atas diimplementasikan ke dalam sistem informasi SIKAPE. Hasil pengujian *Black Box* menunjukkan seluruh fungsionalitas sistem berjalan sesuai harapan. Sistem menyajikan hasil analisis dalam *dashboard* visual (Gambar 5) dan halaman evaluasi (Gambar 6).</w:t>
      </w:r>
    </w:p>
    <w:p/>
    <w:p>
      <w:pPr>
        <w:pStyle w:val="Heading2"/>
      </w:pPr>
      <w:bookmarkStart w:id="12" w:name="_Toc12"/>
      <w:r>
        <w:t>3.3. Evaluasi Kinerja Model</w:t>
      </w:r>
      <w:bookmarkEnd w:id="12"/>
    </w:p>
    <w:p>
      <w:pPr>
        <w:pStyle w:val="pJustify"/>
      </w:pPr>
      <w:r>
        <w:rPr>
          <w:rStyle w:val="fontTimes10"/>
        </w:rPr>
        <w:t xml:space="preserve">Evaluasi kuantitatif dilakukan pada 66 data uji. Hasilnya dirangkum dalam *confusion matrix* pada Tabel 5 dan 6, serta perbandingan metrik evaluasi pada Tabel 7.</w:t>
      </w:r>
    </w:p>
    <w:p/>
    <w:tbl>
      <w:tblGrid>
        <w:gridCol w:w="1000" w:type="dxa"/>
        <w:gridCol w:w="1000" w:type="dxa"/>
        <w:gridCol w:w="1000" w:type="dxa"/>
        <w:gridCol w:w="1000" w:type="dxa"/>
        <w:gridCol w:w="1000" w:type="dxa"/>
      </w:tblGrid>
      <w:tblPr>
        <w:tblStyle w:val="confusionMatrixStyle"/>
      </w:tblPr>
      <w:tr>
        <w:trPr/>
        <w:tc>
          <w:tcPr>
            <w:tcW w:w="2000" w:type="dxa"/>
            <w:shd w:val="clear" w:fill="D9D9D9"/>
            <w:gridSpan w:val="2"/>
            <w:noWrap/>
          </w:tcPr>
          <w:p>
            <w:pPr>
              <w:pStyle w:val="pCenter"/>
            </w:pPr>
            <w:r>
              <w:rPr>
                <w:sz w:val="16"/>
                <w:szCs w:val="16"/>
                <w:b w:val="1"/>
                <w:bCs w:val="1"/>
              </w:rPr>
              <w:t xml:space="preserve">KNN</w:t>
            </w:r>
          </w:p>
        </w:tc>
        <w:tc>
          <w:tcPr>
            <w:tcW w:w="3000" w:type="dxa"/>
            <w:shd w:val="clear" w:fill="D9D9D9"/>
            <w:gridSpan w:val="3"/>
            <w:noWrap/>
          </w:tcPr>
          <w:p>
            <w:pPr>
              <w:pStyle w:val="pCenter"/>
            </w:pPr>
            <w:r>
              <w:rPr>
                <w:sz w:val="16"/>
                <w:szCs w:val="16"/>
                <w:b w:val="1"/>
                <w:bCs w:val="1"/>
              </w:rPr>
              <w:t xml:space="preserve">Prediksi</w:t>
            </w:r>
          </w:p>
        </w:tc>
      </w:tr>
      <w:tr>
        <w:trPr/>
        <w:tc>
          <w:tcPr>
            <w:tcW w:w="1000" w:type="dxa"/>
            <w:vMerge w:val="restart"/>
            <w:noWrap/>
          </w:tcPr>
          <w:p>
            <w:pPr/>
            <w:r>
              <w:rPr>
                <w:sz w:val="16"/>
                <w:szCs w:val="16"/>
                <w:b w:val="1"/>
                <w:bCs w:val="1"/>
              </w:rPr>
              <w:t xml:space="preserve">Aktual</w:t>
            </w:r>
          </w:p>
        </w:tc>
        <w:tc>
          <w:tcPr>
            <w:tcW w:w="1000" w:type="dxa"/>
            <w:noWrap/>
          </w:tcPr>
          <w:p/>
        </w:tc>
        <w:tc>
          <w:tcPr>
            <w:tcW w:w="1000" w:type="dxa"/>
            <w:noWrap/>
          </w:tcPr>
          <w:p>
            <w:pPr/>
            <w:r>
              <w:rPr>
                <w:sz w:val="16"/>
                <w:szCs w:val="16"/>
                <w:b w:val="1"/>
                <w:bCs w:val="1"/>
              </w:rPr>
              <w:t xml:space="preserve">Loyal</w:t>
            </w:r>
          </w:p>
        </w:tc>
        <w:tc>
          <w:tcPr>
            <w:tcW w:w="1000" w:type="dxa"/>
            <w:noWrap/>
          </w:tcPr>
          <w:p>
            <w:pPr/>
            <w:r>
              <w:rPr>
                <w:sz w:val="16"/>
                <w:szCs w:val="16"/>
                <w:b w:val="1"/>
                <w:bCs w:val="1"/>
              </w:rPr>
              <w:t xml:space="preserve">C. Loyal</w:t>
            </w:r>
          </w:p>
        </w:tc>
        <w:tc>
          <w:tcPr>
            <w:tcW w:w="1000" w:type="dxa"/>
            <w:noWrap/>
          </w:tcPr>
          <w:p>
            <w:pPr/>
            <w:r>
              <w:rPr>
                <w:sz w:val="16"/>
                <w:szCs w:val="16"/>
                <w:b w:val="1"/>
                <w:bCs w:val="1"/>
              </w:rPr>
              <w:t xml:space="preserve">T. Loyal</w:t>
            </w:r>
          </w:p>
        </w:tc>
      </w:tr>
      <w:tr>
        <w:trPr/>
        <w:tc>
          <w:tcPr>
            <w:tcW w:w="1000" w:type="dxa"/>
            <w:vMerge w:val="continue"/>
            <w:noWrap/>
          </w:tcPr>
          <w:p/>
        </w:tc>
        <w:tc>
          <w:tcPr>
            <w:tcW w:w="1000" w:type="dxa"/>
            <w:noWrap/>
          </w:tcPr>
          <w:p>
            <w:pPr/>
            <w:r>
              <w:rPr>
                <w:sz w:val="16"/>
                <w:szCs w:val="16"/>
                <w:b w:val="1"/>
                <w:bCs w:val="1"/>
              </w:rPr>
              <w:t xml:space="preserve">Loyal</w:t>
            </w:r>
          </w:p>
        </w:tc>
        <w:tc>
          <w:tcPr>
            <w:tcW w:w="1000" w:type="dxa"/>
            <w:noWrap/>
          </w:tcPr>
          <w:p>
            <w:pPr>
              <w:pStyle w:val="pCenter"/>
            </w:pPr>
            <w:r>
              <w:rPr>
                <w:sz w:val="16"/>
                <w:szCs w:val="16"/>
              </w:rPr>
              <w:t xml:space="preserve">1</w:t>
            </w:r>
          </w:p>
        </w:tc>
        <w:tc>
          <w:tcPr>
            <w:tcW w:w="1000" w:type="dxa"/>
            <w:noWrap/>
          </w:tcPr>
          <w:p>
            <w:pPr>
              <w:pStyle w:val="pCenter"/>
            </w:pPr>
            <w:r>
              <w:rPr>
                <w:sz w:val="16"/>
                <w:szCs w:val="16"/>
              </w:rPr>
              <w:t xml:space="preserve">5</w:t>
            </w:r>
          </w:p>
        </w:tc>
        <w:tc>
          <w:tcPr>
            <w:tcW w:w="1000" w:type="dxa"/>
            <w:noWrap/>
          </w:tcPr>
          <w:p>
            <w:pPr>
              <w:pStyle w:val="pCenter"/>
            </w:pPr>
            <w:r>
              <w:rPr>
                <w:sz w:val="16"/>
                <w:szCs w:val="16"/>
              </w:rPr>
              <w:t xml:space="preserve">0</w:t>
            </w:r>
          </w:p>
        </w:tc>
      </w:tr>
      <w:tr>
        <w:trPr/>
        <w:tc>
          <w:tcPr>
            <w:tcW w:w="1000" w:type="dxa"/>
            <w:vMerge w:val="continue"/>
            <w:noWrap/>
          </w:tcPr>
          <w:p/>
        </w:tc>
        <w:tc>
          <w:tcPr>
            <w:tcW w:w="1000" w:type="dxa"/>
            <w:noWrap/>
          </w:tcPr>
          <w:p>
            <w:pPr/>
            <w:r>
              <w:rPr>
                <w:sz w:val="16"/>
                <w:szCs w:val="16"/>
                <w:b w:val="1"/>
                <w:bCs w:val="1"/>
              </w:rPr>
              <w:t xml:space="preserve">C. Loyal</w:t>
            </w:r>
          </w:p>
        </w:tc>
        <w:tc>
          <w:tcPr>
            <w:tcW w:w="1000" w:type="dxa"/>
            <w:noWrap/>
          </w:tcPr>
          <w:p>
            <w:pPr>
              <w:pStyle w:val="pCenter"/>
            </w:pPr>
            <w:r>
              <w:rPr>
                <w:sz w:val="16"/>
                <w:szCs w:val="16"/>
              </w:rPr>
              <w:t xml:space="preserve">1</w:t>
            </w:r>
          </w:p>
        </w:tc>
        <w:tc>
          <w:tcPr>
            <w:tcW w:w="1000" w:type="dxa"/>
            <w:noWrap/>
          </w:tcPr>
          <w:p>
            <w:pPr>
              <w:pStyle w:val="pCenter"/>
            </w:pPr>
            <w:r>
              <w:rPr>
                <w:sz w:val="16"/>
                <w:szCs w:val="16"/>
              </w:rPr>
              <w:t xml:space="preserve">26</w:t>
            </w:r>
          </w:p>
        </w:tc>
        <w:tc>
          <w:tcPr>
            <w:tcW w:w="1000" w:type="dxa"/>
            <w:noWrap/>
          </w:tcPr>
          <w:p>
            <w:pPr>
              <w:pStyle w:val="pCenter"/>
            </w:pPr>
            <w:r>
              <w:rPr>
                <w:sz w:val="16"/>
                <w:szCs w:val="16"/>
              </w:rPr>
              <w:t xml:space="preserve">3</w:t>
            </w:r>
          </w:p>
        </w:tc>
      </w:tr>
      <w:tr>
        <w:trPr/>
        <w:tc>
          <w:tcPr>
            <w:tcW w:w="1000" w:type="dxa"/>
            <w:vMerge w:val="continue"/>
            <w:noWrap/>
          </w:tcPr>
          <w:p/>
        </w:tc>
        <w:tc>
          <w:tcPr>
            <w:tcW w:w="1000" w:type="dxa"/>
            <w:noWrap/>
          </w:tcPr>
          <w:p>
            <w:pPr/>
            <w:r>
              <w:rPr>
                <w:sz w:val="16"/>
                <w:szCs w:val="16"/>
                <w:b w:val="1"/>
                <w:bCs w:val="1"/>
              </w:rPr>
              <w:t xml:space="preserve">T. Loyal</w:t>
            </w:r>
          </w:p>
        </w:tc>
        <w:tc>
          <w:tcPr>
            <w:tcW w:w="1000" w:type="dxa"/>
            <w:noWrap/>
          </w:tcPr>
          <w:p>
            <w:pPr>
              <w:pStyle w:val="pCenter"/>
            </w:pPr>
            <w:r>
              <w:rPr>
                <w:sz w:val="16"/>
                <w:szCs w:val="16"/>
              </w:rPr>
              <w:t xml:space="preserve">0</w:t>
            </w:r>
          </w:p>
        </w:tc>
        <w:tc>
          <w:tcPr>
            <w:tcW w:w="1000" w:type="dxa"/>
            <w:noWrap/>
          </w:tcPr>
          <w:p>
            <w:pPr>
              <w:pStyle w:val="pCenter"/>
            </w:pPr>
            <w:r>
              <w:rPr>
                <w:sz w:val="16"/>
                <w:szCs w:val="16"/>
              </w:rPr>
              <w:t xml:space="preserve">2</w:t>
            </w:r>
          </w:p>
        </w:tc>
        <w:tc>
          <w:tcPr>
            <w:tcW w:w="1000" w:type="dxa"/>
            <w:noWrap/>
          </w:tcPr>
          <w:p>
            <w:pPr>
              <w:pStyle w:val="pCenter"/>
            </w:pPr>
            <w:r>
              <w:rPr>
                <w:sz w:val="16"/>
                <w:szCs w:val="16"/>
              </w:rPr>
              <w:t xml:space="preserve">28</w:t>
            </w:r>
          </w:p>
        </w:tc>
      </w:tr>
    </w:tbl>
    <w:p>
      <w:pPr>
        <w:pStyle w:val="pCenter"/>
      </w:pPr>
      <w:r>
        <w:rPr>
          <w:sz w:val="16"/>
          <w:szCs w:val="16"/>
          <w:i w:val="1"/>
          <w:iCs w:val="1"/>
        </w:rPr>
        <w:t xml:space="preserve">Tabel 5. Confusion Matrix KNN</w:t>
      </w:r>
    </w:p>
    <w:p/>
    <w:tbl>
      <w:tblGrid>
        <w:gridCol w:w="1000" w:type="dxa"/>
        <w:gridCol w:w="1000" w:type="dxa"/>
        <w:gridCol w:w="1000" w:type="dxa"/>
        <w:gridCol w:w="1000" w:type="dxa"/>
        <w:gridCol w:w="1000" w:type="dxa"/>
      </w:tblGrid>
      <w:tblPr>
        <w:tblStyle w:val="confusionMatrixStyle"/>
      </w:tblPr>
      <w:tr>
        <w:trPr/>
        <w:tc>
          <w:tcPr>
            <w:tcW w:w="2000" w:type="dxa"/>
            <w:shd w:val="clear" w:fill="D9D9D9"/>
            <w:gridSpan w:val="2"/>
            <w:noWrap/>
          </w:tcPr>
          <w:p>
            <w:pPr>
              <w:pStyle w:val="pCenter"/>
            </w:pPr>
            <w:r>
              <w:rPr>
                <w:sz w:val="16"/>
                <w:szCs w:val="16"/>
                <w:b w:val="1"/>
                <w:bCs w:val="1"/>
              </w:rPr>
              <w:t xml:space="preserve">Naive Bayes</w:t>
            </w:r>
          </w:p>
        </w:tc>
        <w:tc>
          <w:tcPr>
            <w:tcW w:w="3000" w:type="dxa"/>
            <w:shd w:val="clear" w:fill="D9D9D9"/>
            <w:gridSpan w:val="3"/>
            <w:noWrap/>
          </w:tcPr>
          <w:p>
            <w:pPr>
              <w:pStyle w:val="pCenter"/>
            </w:pPr>
            <w:r>
              <w:rPr>
                <w:sz w:val="16"/>
                <w:szCs w:val="16"/>
                <w:b w:val="1"/>
                <w:bCs w:val="1"/>
              </w:rPr>
              <w:t xml:space="preserve">Prediksi</w:t>
            </w:r>
          </w:p>
        </w:tc>
      </w:tr>
      <w:tr>
        <w:trPr/>
        <w:tc>
          <w:tcPr>
            <w:tcW w:w="1000" w:type="dxa"/>
            <w:vMerge w:val="restart"/>
            <w:noWrap/>
          </w:tcPr>
          <w:p>
            <w:pPr/>
            <w:r>
              <w:rPr>
                <w:sz w:val="16"/>
                <w:szCs w:val="16"/>
                <w:b w:val="1"/>
                <w:bCs w:val="1"/>
              </w:rPr>
              <w:t xml:space="preserve">Aktual</w:t>
            </w:r>
          </w:p>
        </w:tc>
        <w:tc>
          <w:tcPr>
            <w:tcW w:w="1000" w:type="dxa"/>
            <w:noWrap/>
          </w:tcPr>
          <w:p/>
        </w:tc>
        <w:tc>
          <w:tcPr>
            <w:tcW w:w="1000" w:type="dxa"/>
            <w:noWrap/>
          </w:tcPr>
          <w:p>
            <w:pPr/>
            <w:r>
              <w:rPr>
                <w:sz w:val="16"/>
                <w:szCs w:val="16"/>
                <w:b w:val="1"/>
                <w:bCs w:val="1"/>
              </w:rPr>
              <w:t xml:space="preserve">Loyal</w:t>
            </w:r>
          </w:p>
        </w:tc>
        <w:tc>
          <w:tcPr>
            <w:tcW w:w="1000" w:type="dxa"/>
            <w:noWrap/>
          </w:tcPr>
          <w:p>
            <w:pPr/>
            <w:r>
              <w:rPr>
                <w:sz w:val="16"/>
                <w:szCs w:val="16"/>
                <w:b w:val="1"/>
                <w:bCs w:val="1"/>
              </w:rPr>
              <w:t xml:space="preserve">C. Loyal</w:t>
            </w:r>
          </w:p>
        </w:tc>
        <w:tc>
          <w:tcPr>
            <w:tcW w:w="1000" w:type="dxa"/>
            <w:noWrap/>
          </w:tcPr>
          <w:p>
            <w:pPr/>
            <w:r>
              <w:rPr>
                <w:sz w:val="16"/>
                <w:szCs w:val="16"/>
                <w:b w:val="1"/>
                <w:bCs w:val="1"/>
              </w:rPr>
              <w:t xml:space="preserve">T. Loyal</w:t>
            </w:r>
          </w:p>
        </w:tc>
      </w:tr>
      <w:tr>
        <w:trPr/>
        <w:tc>
          <w:tcPr>
            <w:tcW w:w="1000" w:type="dxa"/>
            <w:vMerge w:val="continue"/>
            <w:noWrap/>
          </w:tcPr>
          <w:p/>
        </w:tc>
        <w:tc>
          <w:tcPr>
            <w:tcW w:w="1000" w:type="dxa"/>
            <w:noWrap/>
          </w:tcPr>
          <w:p>
            <w:pPr/>
            <w:r>
              <w:rPr>
                <w:sz w:val="16"/>
                <w:szCs w:val="16"/>
                <w:b w:val="1"/>
                <w:bCs w:val="1"/>
              </w:rPr>
              <w:t xml:space="preserve">Loyal</w:t>
            </w:r>
          </w:p>
        </w:tc>
        <w:tc>
          <w:tcPr>
            <w:tcW w:w="1000" w:type="dxa"/>
            <w:noWrap/>
          </w:tcPr>
          <w:p>
            <w:pPr>
              <w:pStyle w:val="pCenter"/>
            </w:pPr>
            <w:r>
              <w:rPr>
                <w:sz w:val="16"/>
                <w:szCs w:val="16"/>
              </w:rPr>
              <w:t xml:space="preserve">1</w:t>
            </w:r>
          </w:p>
        </w:tc>
        <w:tc>
          <w:tcPr>
            <w:tcW w:w="1000" w:type="dxa"/>
            <w:noWrap/>
          </w:tcPr>
          <w:p>
            <w:pPr>
              <w:pStyle w:val="pCenter"/>
            </w:pPr>
            <w:r>
              <w:rPr>
                <w:sz w:val="16"/>
                <w:szCs w:val="16"/>
              </w:rPr>
              <w:t xml:space="preserve">5</w:t>
            </w:r>
          </w:p>
        </w:tc>
        <w:tc>
          <w:tcPr>
            <w:tcW w:w="1000" w:type="dxa"/>
            <w:noWrap/>
          </w:tcPr>
          <w:p>
            <w:pPr>
              <w:pStyle w:val="pCenter"/>
            </w:pPr>
            <w:r>
              <w:rPr>
                <w:sz w:val="16"/>
                <w:szCs w:val="16"/>
              </w:rPr>
              <w:t xml:space="preserve">0</w:t>
            </w:r>
          </w:p>
        </w:tc>
      </w:tr>
      <w:tr>
        <w:trPr/>
        <w:tc>
          <w:tcPr>
            <w:tcW w:w="1000" w:type="dxa"/>
            <w:vMerge w:val="continue"/>
            <w:noWrap/>
          </w:tcPr>
          <w:p/>
        </w:tc>
        <w:tc>
          <w:tcPr>
            <w:tcW w:w="1000" w:type="dxa"/>
            <w:noWrap/>
          </w:tcPr>
          <w:p>
            <w:pPr/>
            <w:r>
              <w:rPr>
                <w:sz w:val="16"/>
                <w:szCs w:val="16"/>
                <w:b w:val="1"/>
                <w:bCs w:val="1"/>
              </w:rPr>
              <w:t xml:space="preserve">C. Loyal</w:t>
            </w:r>
          </w:p>
        </w:tc>
        <w:tc>
          <w:tcPr>
            <w:tcW w:w="1000" w:type="dxa"/>
            <w:noWrap/>
          </w:tcPr>
          <w:p>
            <w:pPr>
              <w:pStyle w:val="pCenter"/>
            </w:pPr>
            <w:r>
              <w:rPr>
                <w:sz w:val="16"/>
                <w:szCs w:val="16"/>
              </w:rPr>
              <w:t xml:space="preserve">2</w:t>
            </w:r>
          </w:p>
        </w:tc>
        <w:tc>
          <w:tcPr>
            <w:tcW w:w="1000" w:type="dxa"/>
            <w:noWrap/>
          </w:tcPr>
          <w:p>
            <w:pPr>
              <w:pStyle w:val="pCenter"/>
            </w:pPr>
            <w:r>
              <w:rPr>
                <w:sz w:val="16"/>
                <w:szCs w:val="16"/>
              </w:rPr>
              <w:t xml:space="preserve">24</w:t>
            </w:r>
          </w:p>
        </w:tc>
        <w:tc>
          <w:tcPr>
            <w:tcW w:w="1000" w:type="dxa"/>
            <w:noWrap/>
          </w:tcPr>
          <w:p>
            <w:pPr>
              <w:pStyle w:val="pCenter"/>
            </w:pPr>
            <w:r>
              <w:rPr>
                <w:sz w:val="16"/>
                <w:szCs w:val="16"/>
              </w:rPr>
              <w:t xml:space="preserve">3</w:t>
            </w:r>
          </w:p>
        </w:tc>
      </w:tr>
      <w:tr>
        <w:trPr/>
        <w:tc>
          <w:tcPr>
            <w:tcW w:w="1000" w:type="dxa"/>
            <w:vMerge w:val="continue"/>
            <w:noWrap/>
          </w:tcPr>
          <w:p/>
        </w:tc>
        <w:tc>
          <w:tcPr>
            <w:tcW w:w="1000" w:type="dxa"/>
            <w:noWrap/>
          </w:tcPr>
          <w:p>
            <w:pPr/>
            <w:r>
              <w:rPr>
                <w:sz w:val="16"/>
                <w:szCs w:val="16"/>
                <w:b w:val="1"/>
                <w:bCs w:val="1"/>
              </w:rPr>
              <w:t xml:space="preserve">T. Loyal</w:t>
            </w:r>
          </w:p>
        </w:tc>
        <w:tc>
          <w:tcPr>
            <w:tcW w:w="1000" w:type="dxa"/>
            <w:noWrap/>
          </w:tcPr>
          <w:p>
            <w:pPr>
              <w:pStyle w:val="pCenter"/>
            </w:pPr>
            <w:r>
              <w:rPr>
                <w:sz w:val="16"/>
                <w:szCs w:val="16"/>
              </w:rPr>
              <w:t xml:space="preserve">0</w:t>
            </w:r>
          </w:p>
        </w:tc>
        <w:tc>
          <w:tcPr>
            <w:tcW w:w="1000" w:type="dxa"/>
            <w:noWrap/>
          </w:tcPr>
          <w:p>
            <w:pPr>
              <w:pStyle w:val="pCenter"/>
            </w:pPr>
            <w:r>
              <w:rPr>
                <w:sz w:val="16"/>
                <w:szCs w:val="16"/>
              </w:rPr>
              <w:t xml:space="preserve">3</w:t>
            </w:r>
          </w:p>
        </w:tc>
        <w:tc>
          <w:tcPr>
            <w:tcW w:w="1000" w:type="dxa"/>
            <w:noWrap/>
          </w:tcPr>
          <w:p>
            <w:pPr>
              <w:pStyle w:val="pCenter"/>
            </w:pPr>
            <w:r>
              <w:rPr>
                <w:sz w:val="16"/>
                <w:szCs w:val="16"/>
              </w:rPr>
              <w:t xml:space="preserve">28</w:t>
            </w:r>
          </w:p>
        </w:tc>
      </w:tr>
    </w:tbl>
    <w:p>
      <w:pPr>
        <w:pStyle w:val="pCenter"/>
      </w:pPr>
      <w:r>
        <w:rPr>
          <w:sz w:val="16"/>
          <w:szCs w:val="16"/>
          <w:i w:val="1"/>
          <w:iCs w:val="1"/>
        </w:rPr>
        <w:t xml:space="preserve">Tabel 6. Confusion Matrix Naive Bayes</w:t>
      </w:r>
    </w:p>
    <w:p/>
    <w:tbl>
      <w:tblGrid>
        <w:gridCol w:w="1500" w:type="dxa"/>
        <w:gridCol w:w="1500" w:type="dxa"/>
        <w:gridCol w:w="1500" w:type="dxa"/>
        <w:gridCol w:w="1500" w:type="dxa"/>
      </w:tblGrid>
      <w:tblPr>
        <w:tblStyle w:val="myTable"/>
      </w:tblPr>
      <w:tr>
        <w:trPr/>
        <w:tc>
          <w:tcPr>
            <w:tcW w:w="1500" w:type="dxa"/>
            <w:shd w:val="clear" w:fill="D9D9D9"/>
            <w:noWrap/>
          </w:tcPr>
          <w:p>
            <w:pPr>
              <w:pStyle w:val="pCenter"/>
            </w:pPr>
            <w:r>
              <w:rPr>
                <w:sz w:val="16"/>
                <w:szCs w:val="16"/>
                <w:b w:val="1"/>
                <w:bCs w:val="1"/>
              </w:rPr>
              <w:t xml:space="preserve">Metrik</w:t>
            </w:r>
          </w:p>
        </w:tc>
        <w:tc>
          <w:tcPr>
            <w:tcW w:w="1500" w:type="dxa"/>
            <w:shd w:val="clear" w:fill="D9D9D9"/>
            <w:noWrap/>
          </w:tcPr>
          <w:p>
            <w:pPr>
              <w:pStyle w:val="pCenter"/>
            </w:pPr>
            <w:r>
              <w:rPr>
                <w:sz w:val="16"/>
                <w:szCs w:val="16"/>
                <w:b w:val="1"/>
                <w:bCs w:val="1"/>
              </w:rPr>
              <w:t xml:space="preserve">Kelas</w:t>
            </w:r>
          </w:p>
        </w:tc>
        <w:tc>
          <w:tcPr>
            <w:tcW w:w="1500" w:type="dxa"/>
            <w:shd w:val="clear" w:fill="D9D9D9"/>
            <w:noWrap/>
          </w:tcPr>
          <w:p>
            <w:pPr>
              <w:pStyle w:val="pCenter"/>
            </w:pPr>
            <w:r>
              <w:rPr>
                <w:sz w:val="16"/>
                <w:szCs w:val="16"/>
                <w:b w:val="1"/>
                <w:bCs w:val="1"/>
              </w:rPr>
              <w:t xml:space="preserve">Naive Bayes</w:t>
            </w:r>
          </w:p>
        </w:tc>
        <w:tc>
          <w:tcPr>
            <w:tcW w:w="1500" w:type="dxa"/>
            <w:shd w:val="clear" w:fill="D9D9D9"/>
            <w:noWrap/>
          </w:tcPr>
          <w:p>
            <w:pPr>
              <w:pStyle w:val="pCenter"/>
            </w:pPr>
            <w:r>
              <w:rPr>
                <w:sz w:val="16"/>
                <w:szCs w:val="16"/>
                <w:b w:val="1"/>
                <w:bCs w:val="1"/>
              </w:rPr>
              <w:t xml:space="preserve">KNN</w:t>
            </w:r>
          </w:p>
        </w:tc>
      </w:tr>
      <w:tr>
        <w:trPr/>
        <w:tc>
          <w:tcPr>
            <w:tcW w:w="1500" w:type="dxa"/>
            <w:noWrap/>
          </w:tcPr>
          <w:p>
            <w:pPr/>
            <w:r>
              <w:rPr>
                <w:sz w:val="16"/>
                <w:szCs w:val="16"/>
              </w:rPr>
              <w:t xml:space="preserve">Akurasi</w:t>
            </w:r>
          </w:p>
        </w:tc>
        <w:tc>
          <w:tcPr>
            <w:tcW w:w="1500" w:type="dxa"/>
            <w:noWrap/>
          </w:tcPr>
          <w:p>
            <w:pPr/>
            <w:r>
              <w:rPr>
                <w:sz w:val="16"/>
                <w:szCs w:val="16"/>
              </w:rPr>
              <w:t xml:space="preserve">Keseluruhan</w:t>
            </w:r>
          </w:p>
        </w:tc>
        <w:tc>
          <w:tcPr>
            <w:tcW w:w="1500" w:type="dxa"/>
            <w:noWrap/>
          </w:tcPr>
          <w:p>
            <w:pPr>
              <w:pStyle w:val="pCenter"/>
            </w:pPr>
            <w:r>
              <w:rPr>
                <w:sz w:val="16"/>
                <w:szCs w:val="16"/>
              </w:rPr>
              <w:t xml:space="preserve">80.3%</w:t>
            </w:r>
          </w:p>
        </w:tc>
        <w:tc>
          <w:tcPr>
            <w:tcW w:w="1500" w:type="dxa"/>
            <w:noWrap/>
          </w:tcPr>
          <w:p>
            <w:pPr>
              <w:pStyle w:val="pCenter"/>
            </w:pPr>
            <w:r>
              <w:rPr>
                <w:sz w:val="16"/>
                <w:szCs w:val="16"/>
              </w:rPr>
              <w:t xml:space="preserve">83.3%</w:t>
            </w:r>
          </w:p>
        </w:tc>
      </w:tr>
      <w:tr>
        <w:trPr/>
        <w:tc>
          <w:tcPr>
            <w:tcW w:w="1500" w:type="dxa"/>
            <w:noWrap/>
          </w:tcPr>
          <w:p>
            <w:pPr/>
            <w:r>
              <w:rPr>
                <w:sz w:val="16"/>
                <w:szCs w:val="16"/>
              </w:rPr>
              <w:t xml:space="preserve">Presisi</w:t>
            </w:r>
          </w:p>
        </w:tc>
        <w:tc>
          <w:tcPr>
            <w:tcW w:w="1500" w:type="dxa"/>
            <w:noWrap/>
          </w:tcPr>
          <w:p>
            <w:pPr/>
            <w:r>
              <w:rPr>
                <w:sz w:val="16"/>
                <w:szCs w:val="16"/>
              </w:rPr>
              <w:t xml:space="preserve">Loyal</w:t>
            </w:r>
          </w:p>
        </w:tc>
        <w:tc>
          <w:tcPr>
            <w:tcW w:w="1500" w:type="dxa"/>
            <w:noWrap/>
          </w:tcPr>
          <w:p>
            <w:pPr>
              <w:pStyle w:val="pCenter"/>
            </w:pPr>
            <w:r>
              <w:rPr>
                <w:sz w:val="16"/>
                <w:szCs w:val="16"/>
              </w:rPr>
              <w:t xml:space="preserve">33.3%</w:t>
            </w:r>
          </w:p>
        </w:tc>
        <w:tc>
          <w:tcPr>
            <w:tcW w:w="1500" w:type="dxa"/>
            <w:noWrap/>
          </w:tcPr>
          <w:p>
            <w:pPr>
              <w:pStyle w:val="pCenter"/>
            </w:pPr>
            <w:r>
              <w:rPr>
                <w:sz w:val="16"/>
                <w:szCs w:val="16"/>
              </w:rPr>
              <w:t xml:space="preserve">50.0%</w:t>
            </w:r>
          </w:p>
        </w:tc>
      </w:tr>
      <w:tr>
        <w:trPr/>
        <w:tc>
          <w:tcPr>
            <w:tcW w:w="1500" w:type="dxa"/>
            <w:noWrap/>
          </w:tcPr>
          <w:p>
            <w:pPr/>
            <w:r>
              <w:rPr>
                <w:sz w:val="16"/>
                <w:szCs w:val="16"/>
              </w:rPr>
              <w:t xml:space="preserve"/>
            </w:r>
          </w:p>
        </w:tc>
        <w:tc>
          <w:tcPr>
            <w:tcW w:w="1500" w:type="dxa"/>
            <w:noWrap/>
          </w:tcPr>
          <w:p>
            <w:pPr/>
            <w:r>
              <w:rPr>
                <w:sz w:val="16"/>
                <w:szCs w:val="16"/>
              </w:rPr>
              <w:t xml:space="preserve">C. Loyal</w:t>
            </w:r>
          </w:p>
        </w:tc>
        <w:tc>
          <w:tcPr>
            <w:tcW w:w="1500" w:type="dxa"/>
            <w:noWrap/>
          </w:tcPr>
          <w:p>
            <w:pPr>
              <w:pStyle w:val="pCenter"/>
            </w:pPr>
            <w:r>
              <w:rPr>
                <w:sz w:val="16"/>
                <w:szCs w:val="16"/>
              </w:rPr>
              <w:t xml:space="preserve">75.0%</w:t>
            </w:r>
          </w:p>
        </w:tc>
        <w:tc>
          <w:tcPr>
            <w:tcW w:w="1500" w:type="dxa"/>
            <w:noWrap/>
          </w:tcPr>
          <w:p>
            <w:pPr>
              <w:pStyle w:val="pCenter"/>
            </w:pPr>
            <w:r>
              <w:rPr>
                <w:sz w:val="16"/>
                <w:szCs w:val="16"/>
              </w:rPr>
              <w:t xml:space="preserve">78.8%</w:t>
            </w:r>
          </w:p>
        </w:tc>
      </w:tr>
      <w:tr>
        <w:trPr/>
        <w:tc>
          <w:tcPr>
            <w:tcW w:w="1500" w:type="dxa"/>
            <w:noWrap/>
          </w:tcPr>
          <w:p>
            <w:pPr/>
            <w:r>
              <w:rPr>
                <w:sz w:val="16"/>
                <w:szCs w:val="16"/>
              </w:rPr>
              <w:t xml:space="preserve"/>
            </w:r>
          </w:p>
        </w:tc>
        <w:tc>
          <w:tcPr>
            <w:tcW w:w="1500" w:type="dxa"/>
            <w:noWrap/>
          </w:tcPr>
          <w:p>
            <w:pPr/>
            <w:r>
              <w:rPr>
                <w:sz w:val="16"/>
                <w:szCs w:val="16"/>
              </w:rPr>
              <w:t xml:space="preserve">T. Loyal</w:t>
            </w:r>
          </w:p>
        </w:tc>
        <w:tc>
          <w:tcPr>
            <w:tcW w:w="1500" w:type="dxa"/>
            <w:noWrap/>
          </w:tcPr>
          <w:p>
            <w:pPr>
              <w:pStyle w:val="pCenter"/>
            </w:pPr>
            <w:r>
              <w:rPr>
                <w:sz w:val="16"/>
                <w:szCs w:val="16"/>
              </w:rPr>
              <w:t xml:space="preserve">90.3%</w:t>
            </w:r>
          </w:p>
        </w:tc>
        <w:tc>
          <w:tcPr>
            <w:tcW w:w="1500" w:type="dxa"/>
            <w:noWrap/>
          </w:tcPr>
          <w:p>
            <w:pPr>
              <w:pStyle w:val="pCenter"/>
            </w:pPr>
            <w:r>
              <w:rPr>
                <w:sz w:val="16"/>
                <w:szCs w:val="16"/>
              </w:rPr>
              <w:t xml:space="preserve">90.3%</w:t>
            </w:r>
          </w:p>
        </w:tc>
      </w:tr>
      <w:tr>
        <w:trPr/>
        <w:tc>
          <w:tcPr>
            <w:tcW w:w="1500" w:type="dxa"/>
            <w:noWrap/>
          </w:tcPr>
          <w:p>
            <w:pPr/>
            <w:r>
              <w:rPr>
                <w:sz w:val="16"/>
                <w:szCs w:val="16"/>
              </w:rPr>
              <w:t xml:space="preserve">Recall</w:t>
            </w:r>
          </w:p>
        </w:tc>
        <w:tc>
          <w:tcPr>
            <w:tcW w:w="1500" w:type="dxa"/>
            <w:noWrap/>
          </w:tcPr>
          <w:p>
            <w:pPr/>
            <w:r>
              <w:rPr>
                <w:sz w:val="16"/>
                <w:szCs w:val="16"/>
              </w:rPr>
              <w:t xml:space="preserve">Loyal</w:t>
            </w:r>
          </w:p>
        </w:tc>
        <w:tc>
          <w:tcPr>
            <w:tcW w:w="1500" w:type="dxa"/>
            <w:noWrap/>
          </w:tcPr>
          <w:p>
            <w:pPr>
              <w:pStyle w:val="pCenter"/>
            </w:pPr>
            <w:r>
              <w:rPr>
                <w:sz w:val="16"/>
                <w:szCs w:val="16"/>
              </w:rPr>
              <w:t xml:space="preserve">16.7%</w:t>
            </w:r>
          </w:p>
        </w:tc>
        <w:tc>
          <w:tcPr>
            <w:tcW w:w="1500" w:type="dxa"/>
            <w:noWrap/>
          </w:tcPr>
          <w:p>
            <w:pPr>
              <w:pStyle w:val="pCenter"/>
            </w:pPr>
            <w:r>
              <w:rPr>
                <w:sz w:val="16"/>
                <w:szCs w:val="16"/>
              </w:rPr>
              <w:t xml:space="preserve">16.7%</w:t>
            </w:r>
          </w:p>
        </w:tc>
      </w:tr>
      <w:tr>
        <w:trPr/>
        <w:tc>
          <w:tcPr>
            <w:tcW w:w="1500" w:type="dxa"/>
            <w:noWrap/>
          </w:tcPr>
          <w:p>
            <w:pPr/>
            <w:r>
              <w:rPr>
                <w:sz w:val="16"/>
                <w:szCs w:val="16"/>
              </w:rPr>
              <w:t xml:space="preserve"/>
            </w:r>
          </w:p>
        </w:tc>
        <w:tc>
          <w:tcPr>
            <w:tcW w:w="1500" w:type="dxa"/>
            <w:noWrap/>
          </w:tcPr>
          <w:p>
            <w:pPr/>
            <w:r>
              <w:rPr>
                <w:sz w:val="16"/>
                <w:szCs w:val="16"/>
              </w:rPr>
              <w:t xml:space="preserve">C. Loyal</w:t>
            </w:r>
          </w:p>
        </w:tc>
        <w:tc>
          <w:tcPr>
            <w:tcW w:w="1500" w:type="dxa"/>
            <w:noWrap/>
          </w:tcPr>
          <w:p>
            <w:pPr>
              <w:pStyle w:val="pCenter"/>
            </w:pPr>
            <w:r>
              <w:rPr>
                <w:sz w:val="16"/>
                <w:szCs w:val="16"/>
              </w:rPr>
              <w:t xml:space="preserve">82.8%</w:t>
            </w:r>
          </w:p>
        </w:tc>
        <w:tc>
          <w:tcPr>
            <w:tcW w:w="1500" w:type="dxa"/>
            <w:noWrap/>
          </w:tcPr>
          <w:p>
            <w:pPr>
              <w:pStyle w:val="pCenter"/>
            </w:pPr>
            <w:r>
              <w:rPr>
                <w:sz w:val="16"/>
                <w:szCs w:val="16"/>
              </w:rPr>
              <w:t xml:space="preserve">86.7%</w:t>
            </w:r>
          </w:p>
        </w:tc>
      </w:tr>
      <w:tr>
        <w:trPr/>
        <w:tc>
          <w:tcPr>
            <w:tcW w:w="1500" w:type="dxa"/>
            <w:noWrap/>
          </w:tcPr>
          <w:p>
            <w:pPr/>
            <w:r>
              <w:rPr>
                <w:sz w:val="16"/>
                <w:szCs w:val="16"/>
              </w:rPr>
              <w:t xml:space="preserve"/>
            </w:r>
          </w:p>
        </w:tc>
        <w:tc>
          <w:tcPr>
            <w:tcW w:w="1500" w:type="dxa"/>
            <w:noWrap/>
          </w:tcPr>
          <w:p>
            <w:pPr/>
            <w:r>
              <w:rPr>
                <w:sz w:val="16"/>
                <w:szCs w:val="16"/>
              </w:rPr>
              <w:t xml:space="preserve">T. Loyal</w:t>
            </w:r>
          </w:p>
        </w:tc>
        <w:tc>
          <w:tcPr>
            <w:tcW w:w="1500" w:type="dxa"/>
            <w:noWrap/>
          </w:tcPr>
          <w:p>
            <w:pPr>
              <w:pStyle w:val="pCenter"/>
            </w:pPr>
            <w:r>
              <w:rPr>
                <w:sz w:val="16"/>
                <w:szCs w:val="16"/>
              </w:rPr>
              <w:t xml:space="preserve">90.3%</w:t>
            </w:r>
          </w:p>
        </w:tc>
        <w:tc>
          <w:tcPr>
            <w:tcW w:w="1500" w:type="dxa"/>
            <w:noWrap/>
          </w:tcPr>
          <w:p>
            <w:pPr>
              <w:pStyle w:val="pCenter"/>
            </w:pPr>
            <w:r>
              <w:rPr>
                <w:sz w:val="16"/>
                <w:szCs w:val="16"/>
              </w:rPr>
              <w:t xml:space="preserve">93.3%</w:t>
            </w:r>
          </w:p>
        </w:tc>
      </w:tr>
      <w:tr>
        <w:trPr/>
        <w:tc>
          <w:tcPr>
            <w:tcW w:w="1500" w:type="dxa"/>
            <w:noWrap/>
          </w:tcPr>
          <w:p>
            <w:pPr/>
            <w:r>
              <w:rPr>
                <w:sz w:val="16"/>
                <w:szCs w:val="16"/>
              </w:rPr>
              <w:t xml:space="preserve">F1-Score</w:t>
            </w:r>
          </w:p>
        </w:tc>
        <w:tc>
          <w:tcPr>
            <w:tcW w:w="1500" w:type="dxa"/>
            <w:noWrap/>
          </w:tcPr>
          <w:p>
            <w:pPr/>
            <w:r>
              <w:rPr>
                <w:sz w:val="16"/>
                <w:szCs w:val="16"/>
              </w:rPr>
              <w:t xml:space="preserve">Loyal</w:t>
            </w:r>
          </w:p>
        </w:tc>
        <w:tc>
          <w:tcPr>
            <w:tcW w:w="1500" w:type="dxa"/>
            <w:noWrap/>
          </w:tcPr>
          <w:p>
            <w:pPr>
              <w:pStyle w:val="pCenter"/>
            </w:pPr>
            <w:r>
              <w:rPr>
                <w:sz w:val="16"/>
                <w:szCs w:val="16"/>
              </w:rPr>
              <w:t xml:space="preserve">22.2%</w:t>
            </w:r>
          </w:p>
        </w:tc>
        <w:tc>
          <w:tcPr>
            <w:tcW w:w="1500" w:type="dxa"/>
            <w:noWrap/>
          </w:tcPr>
          <w:p>
            <w:pPr>
              <w:pStyle w:val="pCenter"/>
            </w:pPr>
            <w:r>
              <w:rPr>
                <w:sz w:val="16"/>
                <w:szCs w:val="16"/>
              </w:rPr>
              <w:t xml:space="preserve">25.0%</w:t>
            </w:r>
          </w:p>
        </w:tc>
      </w:tr>
      <w:tr>
        <w:trPr/>
        <w:tc>
          <w:tcPr>
            <w:tcW w:w="1500" w:type="dxa"/>
            <w:noWrap/>
          </w:tcPr>
          <w:p>
            <w:pPr/>
            <w:r>
              <w:rPr>
                <w:sz w:val="16"/>
                <w:szCs w:val="16"/>
              </w:rPr>
              <w:t xml:space="preserve"/>
            </w:r>
          </w:p>
        </w:tc>
        <w:tc>
          <w:tcPr>
            <w:tcW w:w="1500" w:type="dxa"/>
            <w:noWrap/>
          </w:tcPr>
          <w:p>
            <w:pPr/>
            <w:r>
              <w:rPr>
                <w:sz w:val="16"/>
                <w:szCs w:val="16"/>
              </w:rPr>
              <w:t xml:space="preserve">C. Loyal</w:t>
            </w:r>
          </w:p>
        </w:tc>
        <w:tc>
          <w:tcPr>
            <w:tcW w:w="1500" w:type="dxa"/>
            <w:noWrap/>
          </w:tcPr>
          <w:p>
            <w:pPr>
              <w:pStyle w:val="pCenter"/>
            </w:pPr>
            <w:r>
              <w:rPr>
                <w:sz w:val="16"/>
                <w:szCs w:val="16"/>
              </w:rPr>
              <w:t xml:space="preserve">78.7%</w:t>
            </w:r>
          </w:p>
        </w:tc>
        <w:tc>
          <w:tcPr>
            <w:tcW w:w="1500" w:type="dxa"/>
            <w:noWrap/>
          </w:tcPr>
          <w:p>
            <w:pPr>
              <w:pStyle w:val="pCenter"/>
            </w:pPr>
            <w:r>
              <w:rPr>
                <w:sz w:val="16"/>
                <w:szCs w:val="16"/>
              </w:rPr>
              <w:t xml:space="preserve">82.5%</w:t>
            </w:r>
          </w:p>
        </w:tc>
      </w:tr>
      <w:tr>
        <w:trPr/>
        <w:tc>
          <w:tcPr>
            <w:tcW w:w="1500" w:type="dxa"/>
            <w:noWrap/>
          </w:tcPr>
          <w:p>
            <w:pPr/>
            <w:r>
              <w:rPr>
                <w:sz w:val="16"/>
                <w:szCs w:val="16"/>
              </w:rPr>
              <w:t xml:space="preserve"/>
            </w:r>
          </w:p>
        </w:tc>
        <w:tc>
          <w:tcPr>
            <w:tcW w:w="1500" w:type="dxa"/>
            <w:noWrap/>
          </w:tcPr>
          <w:p>
            <w:pPr/>
            <w:r>
              <w:rPr>
                <w:sz w:val="16"/>
                <w:szCs w:val="16"/>
              </w:rPr>
              <w:t xml:space="preserve">T. Loyal</w:t>
            </w:r>
          </w:p>
        </w:tc>
        <w:tc>
          <w:tcPr>
            <w:tcW w:w="1500" w:type="dxa"/>
            <w:noWrap/>
          </w:tcPr>
          <w:p>
            <w:pPr>
              <w:pStyle w:val="pCenter"/>
            </w:pPr>
            <w:r>
              <w:rPr>
                <w:sz w:val="16"/>
                <w:szCs w:val="16"/>
              </w:rPr>
              <w:t xml:space="preserve">90.3%</w:t>
            </w:r>
          </w:p>
        </w:tc>
        <w:tc>
          <w:tcPr>
            <w:tcW w:w="1500" w:type="dxa"/>
            <w:noWrap/>
          </w:tcPr>
          <w:p>
            <w:pPr>
              <w:pStyle w:val="pCenter"/>
            </w:pPr>
            <w:r>
              <w:rPr>
                <w:sz w:val="16"/>
                <w:szCs w:val="16"/>
              </w:rPr>
              <w:t xml:space="preserve">91.8%</w:t>
            </w:r>
          </w:p>
        </w:tc>
      </w:tr>
    </w:tbl>
    <w:p>
      <w:pPr>
        <w:pStyle w:val="pCenter"/>
      </w:pPr>
      <w:r>
        <w:rPr>
          <w:sz w:val="16"/>
          <w:szCs w:val="16"/>
          <w:i w:val="1"/>
          <w:iCs w:val="1"/>
        </w:rPr>
        <w:t xml:space="preserve">Tabel 7. Perbandingan Metrik Evaluasi Kinerja Model</w:t>
      </w:r>
    </w:p>
    <w:p/>
    <w:p>
      <w:pPr>
        <w:pStyle w:val="Heading2"/>
      </w:pPr>
      <w:bookmarkStart w:id="13" w:name="_Toc13"/>
      <w:r>
        <w:t>3.4. Pembahasan</w:t>
      </w:r>
      <w:bookmarkEnd w:id="13"/>
    </w:p>
    <w:p>
      <w:pPr>
        <w:pStyle w:val="pJustify"/>
      </w:pPr>
      <w:r>
        <w:rPr>
          <w:rStyle w:val="fontTimes10"/>
        </w:rPr>
        <w:t xml:space="preserve">Analisis terhadap hasil pada Tabel 7 secara definitif menunjukkan bahwa **algoritma KNN memiliki kinerja yang lebih unggul dibandingkan Naive Bayes** untuk studi kasus ini. Keunggulan ini tidak hanya tecermin pada **akurasi keseluruhan yang lebih tinggi (83.3% vs 80.3%)**, tetapi juga pada nilai **F1-Score yang secara konsisten lebih superior** di semua kelas.
Salah satu temuan paling signifikan dari penelitian ini adalah **kemampuan tinggi kedua model, terutama KNN, dalam mengidentifikasi pelanggan "Tidak Loyal"**. Dengan F1-Score mencapai 91.8%, model ini sangat andal dalam mendeteksi pelanggan yang berisiko berhenti berlangganan.
Meskipun demikian, penelitian ini juga mengungkap sebuah keterbatasan fundamental pada kedua model, yaitu **kinerja yang sangat buruk dalam mengidentifikasi kelas "Loyal"**. Nilai *recall* sebesar 16.7% menunjukkan bahwa model hanya berhasil menemukan 1 dari 6 pelanggan yang sebenarnya loyal. Akar penyebab dari masalah ini adalah **ketidakseimbangan data (*class imbalance*) yang parah** dalam dataset pelatihan. Keterbatasan ini menyoroti dampak langsung dari proses pencatatan data manual yang tidak terstruktur.</w:t>
      </w:r>
    </w:p>
    <w:p/>
    <w:p>
      <w:pPr>
        <w:pStyle w:val="Heading1"/>
      </w:pPr>
      <w:bookmarkStart w:id="14" w:name="_Toc14"/>
      <w:r>
        <w:t>4. Kesimpulan dan Saran</w:t>
      </w:r>
      <w:bookmarkEnd w:id="14"/>
    </w:p>
    <w:p>
      <w:pPr>
        <w:pStyle w:val="Heading2"/>
      </w:pPr>
      <w:bookmarkStart w:id="15" w:name="_Toc15"/>
      <w:r>
        <w:t>4.1. Kesimpulan</w:t>
      </w:r>
      <w:bookmarkEnd w:id="15"/>
    </w:p>
    <w:p>
      <w:pPr>
        <w:pStyle w:val="pJustify"/>
      </w:pPr>
      <w:r>
        <w:rPr>
          <w:rStyle w:val="fontTimes10"/>
        </w:rPr>
        <w:t xml:space="preserve">Berdasarkan hasil analisis dan pembahasan, dapat ditarik beberapa kesimpulan utama. Pertama, penelitian ini telah berhasil merancang, mengimplementasikan, dan menguji sebuah sistem fungsional untuk klasifikasi loyalitas pelanggan. Kedua, hasil evaluasi kuantitatif secara jelas menunjukkan bahwa algoritma KNN memiliki kinerja yang lebih unggul dibandingkan dengan Naive Bayes, dengan mencapai tingkat akurasi keseluruhan sebesar 83.3%. Ketiga, terlepas dari keunggulannya, penelitian ini mengidentifikasi adanya keterbatasan signifikan pada model, yaitu kesulitan dalam mengidentifikasi pelanggan dari kelas "Loyal", yang disebabkan oleh masalah ketidakseimbangan data yang parah pada dataset pelatihan.</w:t>
      </w:r>
    </w:p>
    <w:p/>
    <w:p>
      <w:pPr>
        <w:pStyle w:val="Heading2"/>
      </w:pPr>
      <w:bookmarkStart w:id="16" w:name="_Toc16"/>
      <w:r>
        <w:t>4.2. Saran</w:t>
      </w:r>
      <w:bookmarkEnd w:id="16"/>
    </w:p>
    <w:p>
      <w:pPr/>
      <w:r>
        <w:rPr>
          <w:rFonts w:ascii="Times New Roman" w:hAnsi="Times New Roman" w:eastAsia="Times New Roman" w:cs="Times New Roman"/>
          <w:sz w:val="20"/>
          <w:szCs w:val="20"/>
          <w:i w:val="1"/>
          <w:iCs w:val="1"/>
        </w:rPr>
        <w:t xml:space="preserve">Untuk Implementasi Bisnis:</w:t>
      </w:r>
    </w:p>
    <w:p>
      <w:pPr>
        <w:numPr>
          <w:ilvl w:val="0"/>
          <w:numId w:val="10"/>
        </w:numPr>
      </w:pPr>
      <w:r>
        <w:rPr>
          <w:rStyle w:val="fontTimes10"/>
        </w:rPr>
        <w:t xml:space="preserve">Adopsi Model KNN: CV Cahaya Alam Indah disarankan untuk mengadopsi model KNN sebagai alat bantu pengambilan keputusan strategis untuk segmentasi pelanggan.</w:t>
      </w:r>
    </w:p>
    <w:p>
      <w:pPr>
        <w:numPr>
          <w:ilvl w:val="0"/>
          <w:numId w:val="10"/>
        </w:numPr>
      </w:pPr>
      <w:r>
        <w:rPr>
          <w:rStyle w:val="fontTimes10"/>
        </w:rPr>
        <w:t xml:space="preserve">Fokus pada Retensi: Perusahaan dapat memanfaatkan kekuatan model untuk secara akurat mengidentifikasi pelanggan "Tidak Loyal" dan menargetkan mereka dengan program retensi khusus.</w:t>
      </w:r>
    </w:p>
    <w:p>
      <w:pPr>
        <w:numPr>
          <w:ilvl w:val="0"/>
          <w:numId w:val="10"/>
        </w:numPr>
      </w:pPr>
      <w:r>
        <w:rPr>
          <w:rStyle w:val="fontTimes10"/>
        </w:rPr>
        <w:t xml:space="preserve">Perbaikan Proses Pengumpulan Data: Sangat penting bagi perusahaan untuk mulai beralih ke sistem pencatatan transaksi digital yang terstruktur untuk membangun dataset yang lebih seimbang di masa depan.</w:t>
      </w:r>
    </w:p>
    <w:p/>
    <w:p>
      <w:pPr/>
      <w:r>
        <w:rPr>
          <w:rFonts w:ascii="Times New Roman" w:hAnsi="Times New Roman" w:eastAsia="Times New Roman" w:cs="Times New Roman"/>
          <w:sz w:val="20"/>
          <w:szCs w:val="20"/>
          <w:i w:val="1"/>
          <w:iCs w:val="1"/>
        </w:rPr>
        <w:t xml:space="preserve">Untuk Penelitian Selanjutnya:</w:t>
      </w:r>
    </w:p>
    <w:p>
      <w:pPr>
        <w:numPr>
          <w:ilvl w:val="0"/>
          <w:numId w:val="10"/>
        </w:numPr>
      </w:pPr>
      <w:r>
        <w:rPr>
          <w:rStyle w:val="fontTimes10"/>
        </w:rPr>
        <w:t xml:space="preserve">Penanganan *Class Imbalance*: Disarankan untuk menerapkan teknik penanganan data tidak seimbang, seperti *oversampling* menggunakan metode **SMOTE**, untuk meningkatkan kemampuan model dalam mengenali kelas minoritas.</w:t>
      </w:r>
    </w:p>
    <w:p>
      <w:pPr>
        <w:numPr>
          <w:ilvl w:val="0"/>
          <w:numId w:val="10"/>
        </w:numPr>
      </w:pPr>
      <w:r>
        <w:rPr>
          <w:rStyle w:val="fontTimes10"/>
        </w:rPr>
        <w:t xml:space="preserve">Eksplorasi Algoritma Lanjutan: Penelitian mendatang dapat mengeksplorasi algoritma klasifikasi yang lebih kompleks seperti **Random Forest** atau **SVM**, yang dikenal memiliki ketahanan lebih baik terhadap data yang tidak seimbang.</w:t>
      </w:r>
    </w:p>
    <w:p>
      <w:pPr>
        <w:numPr>
          <w:ilvl w:val="0"/>
          <w:numId w:val="10"/>
        </w:numPr>
      </w:pPr>
      <w:r>
        <w:rPr>
          <w:rStyle w:val="fontTimes10"/>
        </w:rPr>
        <w:t xml:space="preserve">*Feature Engineering*: Disarankan untuk melakukan rekayasa fitur dengan menambahkan atribut baru di luar data transaksi, seperti **lama waktu menjadi pelanggan** (*customer tenure*), yang berpotensi meningkatkan daya prediksi model.</w:t>
      </w:r>
    </w:p>
    <w:p>
      <w:pPr>
        <w:sectPr>
          <w:type w:val="continuous"/>
          <w:pgSz w:orient="portrait" w:w="11905.511811023622" w:h="16837.79527559055"/>
          <w:pgMar w:top="1440" w:right="1440" w:bottom="1440" w:left="1440" w:header="720" w:footer="720" w:gutter="0"/>
          <w:cols w:num="2" w:space="720"/>
        </w:sectPr>
      </w:pPr>
    </w:p>
    <w:p>
      <w:pPr>
        <w:pStyle w:val="pCenter"/>
      </w:pPr>
      <w:r>
        <w:rPr>
          <w:rFonts w:ascii="Times New Roman" w:hAnsi="Times New Roman" w:eastAsia="Times New Roman" w:cs="Times New Roman"/>
          <w:sz w:val="20"/>
          <w:szCs w:val="20"/>
          <w:b w:val="1"/>
          <w:bCs w:val="1"/>
        </w:rPr>
        <w:t xml:space="preserve">Daftar Rujukan</w:t>
      </w:r>
    </w:p>
    <w:p/>
    <w:p>
      <w:pPr>
        <w:pStyle w:val="pJustify"/>
        <w:numPr>
          <w:ilvl w:val="0"/>
          <w:numId w:val="5"/>
        </w:numPr>
      </w:pPr>
      <w:r>
        <w:rPr>
          <w:rStyle w:val="fontTimes8"/>
        </w:rPr>
        <w:t xml:space="preserve">Gultom, D. K., Arif, M., dan Fahmi, M. (2020). Determinasi Kepuasan Pelanggan Terhadap Loyalitas Pelanggan Melalui Kepercayaan. Maneggio: Jurnal Ilmiah Magister Manajemen, 3(2), pp. 171-180.</w:t>
      </w:r>
    </w:p>
    <w:p>
      <w:pPr>
        <w:pStyle w:val="pJustify"/>
        <w:numPr>
          <w:ilvl w:val="0"/>
          <w:numId w:val="5"/>
        </w:numPr>
      </w:pPr>
      <w:r>
        <w:rPr>
          <w:rStyle w:val="fontTimes8"/>
        </w:rPr>
        <w:t xml:space="preserve">Suwandana, I. N. and Purnamawati, I. K. A. (2021) ‘Analisis Kualitas Pelayanan dan Kepuasan Pelanggan pada Depot Air Minum Isi Ulang’, Jurnal Ilmiah Manajemen dan Bisnis, 9(2), pp. 150–159.</w:t>
      </w:r>
    </w:p>
    <w:p>
      <w:pPr>
        <w:pStyle w:val="pJustify"/>
        <w:numPr>
          <w:ilvl w:val="0"/>
          <w:numId w:val="5"/>
        </w:numPr>
      </w:pPr>
      <w:r>
        <w:rPr>
          <w:rStyle w:val="fontTimes8"/>
        </w:rPr>
        <w:t xml:space="preserve">Kementerian Lingkungan Hidup dan Kehutanan Republik Indonesia (2021) Status Lingkungan Hidup Indonesia Tahun 2020. Jakarta: KLHK.</w:t>
      </w:r>
    </w:p>
    <w:p>
      <w:pPr>
        <w:pStyle w:val="pJustify"/>
        <w:numPr>
          <w:ilvl w:val="0"/>
          <w:numId w:val="5"/>
        </w:numPr>
      </w:pPr>
      <w:r>
        <w:rPr>
          <w:rStyle w:val="fontTimes8"/>
        </w:rPr>
        <w:t xml:space="preserve">Badan Pusat Statistik (2021) Statistik Lingkungan Hidup Indonesia 2021. Jakarta: BPS.</w:t>
      </w:r>
    </w:p>
    <w:p>
      <w:pPr>
        <w:pStyle w:val="pJustify"/>
        <w:numPr>
          <w:ilvl w:val="0"/>
          <w:numId w:val="5"/>
        </w:numPr>
      </w:pPr>
      <w:r>
        <w:rPr>
          <w:rStyle w:val="fontTimes8"/>
        </w:rPr>
        <w:t xml:space="preserve">Badan Nasional Penanggulangan Bencana (2023) Laporan Tahunan Bencana Indonesia 2022. Jakarta: BNPB.</w:t>
      </w:r>
    </w:p>
    <w:p>
      <w:pPr>
        <w:pStyle w:val="pJustify"/>
        <w:numPr>
          <w:ilvl w:val="0"/>
          <w:numId w:val="5"/>
        </w:numPr>
      </w:pPr>
      <w:r>
        <w:rPr>
          <w:rStyle w:val="fontTimes8"/>
        </w:rPr>
        <w:t xml:space="preserve">Kementerian PUPR (2020) Rencana Strategis Direktorat Jenderal Cipta Karya 2020-2024. Jakarta: KemenPUPR.</w:t>
      </w:r>
    </w:p>
    <w:p>
      <w:pPr>
        <w:pStyle w:val="pJustify"/>
        <w:numPr>
          <w:ilvl w:val="0"/>
          <w:numId w:val="5"/>
        </w:numPr>
      </w:pPr>
      <w:r>
        <w:rPr>
          <w:rStyle w:val="fontTimes8"/>
        </w:rPr>
        <w:t xml:space="preserve">Kementerian Pekerjaan Umum dan Perumahan Rakyat (2021) Kajian Strategi Pengembangan Sistem Penyediaan Air Minum di Wilayah Perkotaan Tahun 2021. Jakarta: Direktorat Jenderal Cipta Karya.</w:t>
      </w:r>
    </w:p>
    <w:p>
      <w:pPr>
        <w:pStyle w:val="pJustify"/>
        <w:numPr>
          <w:ilvl w:val="0"/>
          <w:numId w:val="5"/>
        </w:numPr>
      </w:pPr>
      <w:r>
        <w:rPr>
          <w:rStyle w:val="fontTimes8"/>
        </w:rPr>
        <w:t xml:space="preserve">Digima (2024) Peningkatan Produk dengan Data Pelanggan. Available at: https://digima.co.id/peningkatan-produk-dengan-data-pelanggan/ (Accessed: 12 May 2025).</w:t>
      </w:r>
    </w:p>
    <w:p>
      <w:pPr>
        <w:pStyle w:val="pJustify"/>
        <w:numPr>
          <w:ilvl w:val="0"/>
          <w:numId w:val="5"/>
        </w:numPr>
      </w:pPr>
      <w:r>
        <w:rPr>
          <w:rStyle w:val="fontTimes8"/>
        </w:rPr>
        <w:t xml:space="preserve">Kledo (2023) Segmentasi Transaksional (Analisis RFM): Pengertian, Strategi, dan Contohnya. Available at: https://kledo.com/blog/segmentasi-transaksional/ (Accessed: 12 May 2025).</w:t>
      </w:r>
    </w:p>
    <w:p>
      <w:pPr>
        <w:pStyle w:val="pJustify"/>
        <w:numPr>
          <w:ilvl w:val="0"/>
          <w:numId w:val="5"/>
        </w:numPr>
      </w:pPr>
      <w:r>
        <w:rPr>
          <w:rStyle w:val="fontTimes8"/>
        </w:rPr>
        <w:t xml:space="preserve">PTNAS (2024) Cara Meningkatkan Penjualan Berdasarkan Data Pelanggan. Available at: https://ptnas.co.id/blog/cara-meningkatkan-penjualan-bisnis/ (Accessed: 12 May 2025).</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
    <w:nsid w:val="E3104E1E"/>
    <w:multiLevelType w:val=""/>
  </w:abstractNum>
  <w:abstractNum w:abstractNumId="10">
    <w:nsid w:val="D9E1095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5">
    <w:abstractNumId w:val="5"/>
  </w:num>
  <w:num w:numId="10">
    <w:abstractNumId w:val="1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fontTimes10"/>
    <w:rPr>
      <w:rFonts w:ascii="Times New Roman" w:hAnsi="Times New Roman" w:eastAsia="Times New Roman" w:cs="Times New Roman"/>
      <w:sz w:val="20"/>
      <w:szCs w:val="20"/>
    </w:rPr>
  </w:style>
  <w:style w:type="character">
    <w:name w:val="fontTimes8"/>
    <w:rPr>
      <w:rFonts w:ascii="Times New Roman" w:hAnsi="Times New Roman" w:eastAsia="Times New Roman" w:cs="Times New Roman"/>
      <w:sz w:val="16"/>
      <w:szCs w:val="16"/>
    </w:rPr>
  </w:style>
  <w:style w:type="paragraph" w:customStyle="1" w:styleId="pJustify">
    <w:name w:val="pJustify"/>
    <w:basedOn w:val="Normal"/>
    <w:pPr>
      <w:jc w:val="both"/>
    </w:pPr>
  </w:style>
  <w:style w:type="paragraph" w:customStyle="1" w:styleId="pCenter">
    <w:name w:val="pCenter"/>
    <w:basedOn w:val="Normal"/>
    <w:pPr>
      <w:jc w:val="center"/>
    </w:pPr>
  </w:style>
  <w:style w:type="paragraph" w:styleId="Heading1">
    <w:link w:val="Heading1Char"/>
    <w:name w:val="heading 1"/>
    <w:rPr>
      <w:rFonts w:ascii="Times New Roman" w:hAnsi="Times New Roman" w:eastAsia="Times New Roman" w:cs="Times New Roman"/>
      <w:sz w:val="20"/>
      <w:szCs w:val="20"/>
      <w:b w:val="1"/>
      <w:bCs w:val="1"/>
    </w:rPr>
  </w:style>
  <w:style w:type="paragraph" w:styleId="Heading2">
    <w:link w:val="Heading2Char"/>
    <w:name w:val="heading 2"/>
    <w:rPr>
      <w:rFonts w:ascii="Times New Roman" w:hAnsi="Times New Roman" w:eastAsia="Times New Roman" w:cs="Times New Roman"/>
      <w:sz w:val="20"/>
      <w:szCs w:val="20"/>
    </w:rPr>
  </w:style>
  <w:style w:type="table" w:customStyle="1" w:styleId="myTable">
    <w:name w:val="myTable"/>
    <w:uiPriority w:val="99"/>
    <w:tblPr>
      <w:jc w:val="center"/>
      <w:tblW w:w="0" w:type="auto"/>
      <w:tblLayout w:type="autofit"/>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style>
  <w:style w:type="table" w:customStyle="1" w:styleId="confusionMatrixStyle">
    <w:name w:val="confusionMatrixStyle"/>
    <w:uiPriority w:val="99"/>
    <w:tblPr>
      <w:jc w:val="center"/>
      <w:tblW w:w="0" w:type="auto"/>
      <w:tblLayout w:type="autofit"/>
      <w:tblCellMar>
        <w:top w:w="50" w:type="dxa"/>
        <w:left w:w="50" w:type="dxa"/>
        <w:right w:w="50" w:type="dxa"/>
        <w:bottom w:w="50" w:type="dxa"/>
      </w:tblCellMar>
      <w:tblBorders>
        <w:top w:val="single" w:sz="6" w:color="000000"/>
        <w:left w:val="single" w:sz="6" w:color="000000"/>
        <w:right w:val="single" w:sz="6" w:color="000000"/>
        <w:bottom w:val="single" w:sz="6" w:color="000000"/>
        <w:insideH w:val="single" w:sz="6" w:color="000000"/>
        <w:insideV w:val="single" w:sz="6"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2026-06-30T14:32:22+00:00</dcterms:created>
  <dcterms:modified xsi:type="dcterms:W3CDTF">2026-06-30T14:32:22+00:00</dcterms:modified>
</cp:coreProperties>
</file>

<file path=docProps/custom.xml><?xml version="1.0" encoding="utf-8"?>
<Properties xmlns="http://schemas.openxmlformats.org/officeDocument/2006/custom-properties" xmlns:vt="http://schemas.openxmlformats.org/officeDocument/2006/docPropsVTypes"/>
</file>